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i w:val="0"/>
          <w:color w:val="0B2545"/>
          <w:sz w:val="36"/>
        </w:rPr>
        <w:t>ACTA DE VERIFICACIÓN DOCUMENTAL INDEPENDIENTE</w:t>
      </w:r>
    </w:p>
    <w:p>
      <w:pPr>
        <w:spacing w:after="200"/>
      </w:pPr>
      <w:r>
        <w:rPr>
          <w:rFonts w:ascii="Calibri" w:hAnsi="Calibri"/>
          <w:b w:val="0"/>
          <w:i w:val="0"/>
          <w:color w:val="555555"/>
          <w:sz w:val="21"/>
        </w:rPr>
        <w:t>Contraste del Documento Maestro v1.1 frente a CMP-010 v0.3, CMP-011 v0.3 y PI-001 v2.2</w:t>
      </w:r>
    </w:p>
    <w:tbl>
      <w:tblPr>
        <w:tblStyle w:val="TableGrid"/>
        <w:tblW w:type="dxa" w:w="9850"/>
        <w:jc w:val="center"/>
        <w:tblLook w:firstColumn="1" w:firstRow="1" w:lastColumn="0" w:lastRow="0" w:noHBand="0" w:noVBand="1" w:val="04A0"/>
        <w:tblLayout w:type="fixed"/>
        <w:tblInd w:w="120" w:type="dxa"/>
      </w:tblPr>
      <w:tblGrid>
        <w:gridCol w:w="1500"/>
        <w:gridCol w:w="3400"/>
        <w:gridCol w:w="1500"/>
        <w:gridCol w:w="3450"/>
      </w:tblGrid>
      <w:tr>
        <w:tc>
          <w:tcPr>
            <w:tcW w:type="dxa" w:w="1500"/>
            <w:shd w:fill="E8EEF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Código documental</w:t>
            </w:r>
          </w:p>
        </w:tc>
        <w:tc>
          <w:tcPr>
            <w:tcW w:type="dxa" w:w="34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PE2050-C1-AV-001</w:t>
            </w:r>
          </w:p>
        </w:tc>
        <w:tc>
          <w:tcPr>
            <w:tcW w:type="dxa" w:w="1500"/>
            <w:shd w:fill="E8EEF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Versión</w:t>
            </w:r>
          </w:p>
        </w:tc>
        <w:tc>
          <w:tcPr>
            <w:tcW w:type="dxa" w:w="34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v0.1</w:t>
            </w:r>
          </w:p>
        </w:tc>
      </w:tr>
      <w:tr>
        <w:tc>
          <w:tcPr>
            <w:tcW w:type="dxa" w:w="1500"/>
            <w:shd w:fill="E8EEF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Fecha</w:t>
            </w:r>
          </w:p>
        </w:tc>
        <w:tc>
          <w:tcPr>
            <w:tcW w:type="dxa" w:w="34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04/09/2026</w:t>
            </w:r>
          </w:p>
        </w:tc>
        <w:tc>
          <w:tcPr>
            <w:tcW w:type="dxa" w:w="1500"/>
            <w:shd w:fill="E8EEF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Estado</w:t>
            </w:r>
          </w:p>
        </w:tc>
        <w:tc>
          <w:tcPr>
            <w:tcW w:type="dxa" w:w="34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TRABAJO INTERNO · PARA-REVISION</w:t>
            </w:r>
          </w:p>
        </w:tc>
      </w:tr>
      <w:tr>
        <w:tc>
          <w:tcPr>
            <w:tcW w:type="dxa" w:w="1500"/>
            <w:shd w:fill="E8EEF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Responsable</w:t>
            </w:r>
          </w:p>
        </w:tc>
        <w:tc>
          <w:tcPr>
            <w:tcW w:type="dxa" w:w="34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Carlos Puyet Martínez · coordinación y revisión documental informativa</w:t>
            </w:r>
          </w:p>
        </w:tc>
        <w:tc>
          <w:tcPr>
            <w:tcW w:type="dxa" w:w="1500"/>
            <w:shd w:fill="E8EEF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Objeto</w:t>
            </w:r>
          </w:p>
        </w:tc>
        <w:tc>
          <w:tcPr>
            <w:tcW w:type="dxa" w:w="34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Documento Maestro v1.1 · PARA-REVISION</w:t>
            </w:r>
          </w:p>
        </w:tc>
      </w:tr>
    </w:tbl>
    <w:p>
      <w:pPr>
        <w:spacing w:before="200" w:after="80"/>
      </w:pPr>
      <w:r>
        <w:rPr>
          <w:rFonts w:ascii="Calibri" w:hAnsi="Calibri"/>
          <w:b/>
          <w:i w:val="0"/>
          <w:color w:val="2E74B5"/>
          <w:sz w:val="26"/>
        </w:rPr>
        <w:t>1. Documentos comprobados</w:t>
      </w:r>
    </w:p>
    <w:p>
      <w:pPr>
        <w:pStyle w:val="ListBullet"/>
        <w:spacing w:after="40" w:line="252" w:lineRule="auto"/>
      </w:pPr>
      <w:r>
        <w:rPr>
          <w:rFonts w:ascii="Calibri" w:hAnsi="Calibri"/>
          <w:b w:val="0"/>
          <w:i w:val="0"/>
          <w:color w:val="0B2545"/>
          <w:sz w:val="18"/>
        </w:rPr>
        <w:t>PE2050-C1-DM-001 · Documento Maestro de Variante de Graus · v1.1 · TRABAJO INTERNO · PARA-REVISION.</w:t>
      </w:r>
    </w:p>
    <w:p>
      <w:pPr>
        <w:pStyle w:val="ListBullet"/>
        <w:spacing w:after="40" w:line="252" w:lineRule="auto"/>
      </w:pPr>
      <w:r>
        <w:rPr>
          <w:rFonts w:ascii="Calibri" w:hAnsi="Calibri"/>
          <w:b w:val="0"/>
          <w:i w:val="0"/>
          <w:color w:val="0B2545"/>
          <w:sz w:val="18"/>
        </w:rPr>
        <w:t>PE2050-C1-CMP-010 · Matriz Comparativa Oeste-Este · v0.3 · TRABAJO INTERNO.</w:t>
      </w:r>
    </w:p>
    <w:p>
      <w:pPr>
        <w:pStyle w:val="ListBullet"/>
        <w:spacing w:after="40" w:line="252" w:lineRule="auto"/>
      </w:pPr>
      <w:r>
        <w:rPr>
          <w:rFonts w:ascii="Calibri" w:hAnsi="Calibri"/>
          <w:b w:val="0"/>
          <w:i w:val="0"/>
          <w:color w:val="0B2545"/>
          <w:sz w:val="18"/>
        </w:rPr>
        <w:t>PE2050-C1-CMP-011 · Informe Ejecutivo Comparativo Oeste-Este · v0.3 · TRABAJO INTERNO.</w:t>
      </w:r>
    </w:p>
    <w:p>
      <w:pPr>
        <w:pStyle w:val="ListBullet"/>
        <w:spacing w:after="40" w:line="252" w:lineRule="auto"/>
      </w:pPr>
      <w:r>
        <w:rPr>
          <w:rFonts w:ascii="Calibri" w:hAnsi="Calibri"/>
          <w:b w:val="0"/>
          <w:i w:val="0"/>
          <w:color w:val="0B2545"/>
          <w:sz w:val="18"/>
        </w:rPr>
        <w:t>PE2050-C1-PI-001 · Corredor Francia-Graus, Variantes y Travesía · v2.2 · PARA-REVISION.</w:t>
      </w:r>
    </w:p>
    <w:p>
      <w:pPr>
        <w:spacing w:before="200" w:after="80"/>
      </w:pPr>
      <w:r>
        <w:rPr>
          <w:rFonts w:ascii="Calibri" w:hAnsi="Calibri"/>
          <w:b/>
          <w:i w:val="0"/>
          <w:color w:val="2E74B5"/>
          <w:sz w:val="26"/>
        </w:rPr>
        <w:t>2. Regla de lectura y prevalencia</w:t>
      </w:r>
    </w:p>
    <w:p>
      <w:pPr>
        <w:spacing w:before="0" w:after="80" w:line="264" w:lineRule="auto"/>
      </w:pPr>
      <w:r>
        <w:rPr>
          <w:rFonts w:ascii="Calibri" w:hAnsi="Calibri"/>
          <w:b w:val="0"/>
          <w:i w:val="0"/>
          <w:color w:val="0B2545"/>
          <w:sz w:val="18"/>
        </w:rPr>
        <w:t>La comprobación utiliza CMP-010 v0.3 para precisión y trazabilidad numérica; CMP-011 v0.3 para síntesis comparativa, riesgos y cautelas; y PI-001 v2.2 para coherencia comunicativa y redondeos de presentación. Cuando una cifra se expresa con distinto número de decimales, se clasifica como “coincide por redondeo”.</w:t>
      </w:r>
    </w:p>
    <w:p>
      <w:pPr>
        <w:spacing w:before="200" w:after="80"/>
      </w:pPr>
      <w:r>
        <w:rPr>
          <w:rFonts w:ascii="Calibri" w:hAnsi="Calibri"/>
          <w:b/>
          <w:i w:val="0"/>
          <w:color w:val="2E74B5"/>
          <w:sz w:val="26"/>
        </w:rPr>
        <w:t>3. Tabla de contraste · Solución Oeste</w:t>
      </w:r>
    </w:p>
    <w:tbl>
      <w:tblPr>
        <w:tblStyle w:val="TableGrid"/>
        <w:tblW w:type="dxa" w:w="9850"/>
        <w:jc w:val="center"/>
        <w:tblLook w:firstColumn="1" w:firstRow="1" w:lastColumn="0" w:lastRow="0" w:noHBand="0" w:noVBand="1" w:val="04A0"/>
        <w:tblLayout w:type="fixed"/>
        <w:tblInd w:w="120" w:type="dxa"/>
      </w:tblPr>
      <w:tblGrid>
        <w:gridCol w:w="1100"/>
        <w:gridCol w:w="1650"/>
        <w:gridCol w:w="1800"/>
        <w:gridCol w:w="1750"/>
        <w:gridCol w:w="1750"/>
        <w:gridCol w:w="700"/>
        <w:gridCol w:w="1100"/>
      </w:tblGrid>
      <w:tr>
        <w:trPr>
          <w:tblHeader w:val="true"/>
        </w:trPr>
        <w:tc>
          <w:tcPr>
            <w:tcW w:type="dxa" w:w="1100"/>
            <w:shd w:fill="2E74B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4"/>
              </w:rPr>
              <w:t>Variable</w:t>
            </w:r>
          </w:p>
        </w:tc>
        <w:tc>
          <w:tcPr>
            <w:tcW w:type="dxa" w:w="1650"/>
            <w:shd w:fill="2E74B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4"/>
              </w:rPr>
              <w:t>Documento Maestro v1.1</w:t>
            </w:r>
          </w:p>
        </w:tc>
        <w:tc>
          <w:tcPr>
            <w:tcW w:type="dxa" w:w="1800"/>
            <w:shd w:fill="2E74B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4"/>
              </w:rPr>
              <w:t>CMP-010 v0.3</w:t>
            </w:r>
          </w:p>
        </w:tc>
        <w:tc>
          <w:tcPr>
            <w:tcW w:type="dxa" w:w="1750"/>
            <w:shd w:fill="2E74B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4"/>
              </w:rPr>
              <w:t>CMP-011 v0.3</w:t>
            </w:r>
          </w:p>
        </w:tc>
        <w:tc>
          <w:tcPr>
            <w:tcW w:type="dxa" w:w="1750"/>
            <w:shd w:fill="2E74B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4"/>
              </w:rPr>
              <w:t>PI-001 v2.2</w:t>
            </w:r>
          </w:p>
        </w:tc>
        <w:tc>
          <w:tcPr>
            <w:tcW w:type="dxa" w:w="700"/>
            <w:shd w:fill="2E74B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4"/>
              </w:rPr>
              <w:t>Resultado</w:t>
            </w:r>
          </w:p>
        </w:tc>
        <w:tc>
          <w:tcPr>
            <w:tcW w:type="dxa" w:w="1100"/>
            <w:shd w:fill="2E74B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4"/>
              </w:rPr>
              <w:t>Acción</w:t>
            </w:r>
          </w:p>
        </w:tc>
      </w:tr>
      <w:tr>
        <w:tc>
          <w:tcPr>
            <w:tcW w:type="dxa" w:w="11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Identificación y vigencia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Sección 3.1 y tabla 7: Solución Oeste, alternativa vigente.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Resumen y “Base comparable” A1:G13: Solución Oeste.</w:t>
            </w:r>
          </w:p>
        </w:tc>
        <w:tc>
          <w:tcPr>
            <w:tcW w:type="dxa" w:w="17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3 y tabla 5: mantener vivas las dos soluciones; Oeste.</w:t>
            </w:r>
          </w:p>
        </w:tc>
        <w:tc>
          <w:tcPr>
            <w:tcW w:type="dxa" w:w="17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Diap. 4-5: Solución Oeste; alternativa a estudiar.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Coincide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Ninguna.</w:t>
            </w:r>
          </w:p>
        </w:tc>
      </w:tr>
      <w:tr>
        <w:tc>
          <w:tcPr>
            <w:tcW w:type="dxa" w:w="11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Longitud total</w:t>
            </w:r>
          </w:p>
        </w:tc>
        <w:tc>
          <w:tcPr>
            <w:tcW w:type="dxa" w:w="16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7: ≈ 4,59 km con conexiones.</w:t>
            </w:r>
          </w:p>
        </w:tc>
        <w:tc>
          <w:tcPr>
            <w:tcW w:type="dxa" w:w="18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Base comparable!C5 = 4,5912 km.</w:t>
            </w:r>
          </w:p>
        </w:tc>
        <w:tc>
          <w:tcPr>
            <w:tcW w:type="dxa" w:w="17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5: ≈ 4,59 km con conexiones.</w:t>
            </w:r>
          </w:p>
        </w:tc>
        <w:tc>
          <w:tcPr>
            <w:tcW w:type="dxa" w:w="17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Diap. 5: ≈ 4,59 km.</w:t>
            </w:r>
          </w:p>
        </w:tc>
        <w:tc>
          <w:tcPr>
            <w:tcW w:type="dxa" w:w="7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Coincide por redondeo</w:t>
            </w:r>
          </w:p>
        </w:tc>
        <w:tc>
          <w:tcPr>
            <w:tcW w:type="dxa" w:w="11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Ninguna.</w:t>
            </w:r>
          </w:p>
        </w:tc>
      </w:tr>
      <w:tr>
        <w:tc>
          <w:tcPr>
            <w:tcW w:type="dxa" w:w="11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Túnel en mina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7: ≈ 3,39 km.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Base comparable!C6 = 3,3912 km.</w:t>
            </w:r>
          </w:p>
        </w:tc>
        <w:tc>
          <w:tcPr>
            <w:tcW w:type="dxa" w:w="17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5: 3,39 km.</w:t>
            </w:r>
          </w:p>
        </w:tc>
        <w:tc>
          <w:tcPr>
            <w:tcW w:type="dxa" w:w="17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Diap. 5: ≈ 3,39 km.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Coincide por redondeo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Ninguna.</w:t>
            </w:r>
          </w:p>
        </w:tc>
      </w:tr>
      <w:tr>
        <w:tc>
          <w:tcPr>
            <w:tcW w:type="dxa" w:w="11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Pendiente máxima</w:t>
            </w:r>
          </w:p>
        </w:tc>
        <w:tc>
          <w:tcPr>
            <w:tcW w:type="dxa" w:w="16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7: ≈ 0,54 %.</w:t>
            </w:r>
          </w:p>
        </w:tc>
        <w:tc>
          <w:tcPr>
            <w:tcW w:type="dxa" w:w="18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Base comparable!C10 = 0,54118 %.</w:t>
            </w:r>
          </w:p>
        </w:tc>
        <w:tc>
          <w:tcPr>
            <w:tcW w:type="dxa" w:w="17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5: ≈ 0,54 %.</w:t>
            </w:r>
          </w:p>
        </w:tc>
        <w:tc>
          <w:tcPr>
            <w:tcW w:type="dxa" w:w="17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Diap. 7: ≈ 0,54 %.</w:t>
            </w:r>
          </w:p>
        </w:tc>
        <w:tc>
          <w:tcPr>
            <w:tcW w:type="dxa" w:w="7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Coincide por redondeo</w:t>
            </w:r>
          </w:p>
        </w:tc>
        <w:tc>
          <w:tcPr>
            <w:tcW w:type="dxa" w:w="11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Ninguna.</w:t>
            </w:r>
          </w:p>
        </w:tc>
      </w:tr>
      <w:tr>
        <w:tc>
          <w:tcPr>
            <w:tcW w:type="dxa" w:w="11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Banda económica e IVA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7 y tabla 9: 172,5 / 264,0 / 412,9 M€, con IVA y contingencias.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Base comparable!C11:C13 = 172,476246888 / 264,019181184 / 412,944513696 M€, IVA incl.</w:t>
            </w:r>
          </w:p>
        </w:tc>
        <w:tc>
          <w:tcPr>
            <w:tcW w:type="dxa" w:w="17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Sección 4.1; tablas 4 y 7: 172,5 / 264,0 / 412,9 M€, con IVA y contingencias.</w:t>
            </w:r>
          </w:p>
        </w:tc>
        <w:tc>
          <w:tcPr>
            <w:tcW w:type="dxa" w:w="17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Diap. 8: 173 / 264 / 413 M€, con IVA y contingencias.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Coincide por redondeo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Ninguna.</w:t>
            </w:r>
          </w:p>
        </w:tc>
      </w:tr>
      <w:tr>
        <w:tc>
          <w:tcPr>
            <w:tcW w:type="dxa" w:w="11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Riesgos, cautelas y estudios</w:t>
            </w:r>
          </w:p>
        </w:tc>
        <w:tc>
          <w:tcPr>
            <w:tcW w:type="dxa" w:w="16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8: geología, hidrogeología, ventilación, seguridad, drenaje, emergencias, portales, operación y coste.</w:t>
            </w:r>
          </w:p>
        </w:tc>
        <w:tc>
          <w:tcPr>
            <w:tcW w:type="dxa" w:w="18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Base comparable!G6:G13: riesgo/normativa, geotecnia y agua; tabla “Impacto y transformación”, filas de explotación a ambiente.</w:t>
            </w:r>
          </w:p>
        </w:tc>
        <w:tc>
          <w:tcPr>
            <w:tcW w:type="dxa" w:w="17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Secciones 4.1, 5 y tabla 5: geología, agua, sostenimiento, instalaciones, seguridad y material excavado; geotecnia e hidrogeología.</w:t>
            </w:r>
          </w:p>
        </w:tc>
        <w:tc>
          <w:tcPr>
            <w:tcW w:type="dxa" w:w="17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Diap. 5, 7-9 y 19: roca, agua, sostenimiento, portales, seguridad y ciclo de vida.</w:t>
            </w:r>
          </w:p>
        </w:tc>
        <w:tc>
          <w:tcPr>
            <w:tcW w:type="dxa" w:w="7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Coincide</w:t>
            </w:r>
          </w:p>
        </w:tc>
        <w:tc>
          <w:tcPr>
            <w:tcW w:type="dxa" w:w="11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Mantener cautelas.</w:t>
            </w:r>
          </w:p>
        </w:tc>
      </w:tr>
    </w:tbl>
    <w:p>
      <w:pPr>
        <w:spacing w:after="60" w:before="20"/>
      </w:pPr>
      <w:r>
        <w:rPr>
          <w:rFonts w:ascii="Calibri" w:hAnsi="Calibri"/>
          <w:b w:val="0"/>
          <w:i/>
          <w:color w:val="555555"/>
          <w:sz w:val="15"/>
        </w:rPr>
        <w:t>Localizadores: CMP-010 = hoja y celda/rango; CMP-011 = sección o tabla; PI-001 = diapositiva.</w:t>
      </w:r>
    </w:p>
    <w:p>
      <w:pPr>
        <w:spacing w:before="200" w:after="80"/>
      </w:pPr>
      <w:r>
        <w:rPr>
          <w:rFonts w:ascii="Calibri" w:hAnsi="Calibri"/>
          <w:b/>
          <w:i w:val="0"/>
          <w:color w:val="2E74B5"/>
          <w:sz w:val="26"/>
        </w:rPr>
        <w:t>4. Tabla de contraste · Solución Este E6b</w:t>
      </w:r>
    </w:p>
    <w:tbl>
      <w:tblPr>
        <w:tblStyle w:val="TableGrid"/>
        <w:tblW w:type="dxa" w:w="9850"/>
        <w:jc w:val="center"/>
        <w:tblLook w:firstColumn="1" w:firstRow="1" w:lastColumn="0" w:lastRow="0" w:noHBand="0" w:noVBand="1" w:val="04A0"/>
        <w:tblLayout w:type="fixed"/>
        <w:tblInd w:w="120" w:type="dxa"/>
      </w:tblPr>
      <w:tblGrid>
        <w:gridCol w:w="1100"/>
        <w:gridCol w:w="1650"/>
        <w:gridCol w:w="1800"/>
        <w:gridCol w:w="1750"/>
        <w:gridCol w:w="1750"/>
        <w:gridCol w:w="700"/>
        <w:gridCol w:w="1100"/>
      </w:tblGrid>
      <w:tr>
        <w:trPr>
          <w:tblHeader w:val="true"/>
        </w:trPr>
        <w:tc>
          <w:tcPr>
            <w:tcW w:type="dxa" w:w="1100"/>
            <w:shd w:fill="2E74B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4"/>
              </w:rPr>
              <w:t>Variable</w:t>
            </w:r>
          </w:p>
        </w:tc>
        <w:tc>
          <w:tcPr>
            <w:tcW w:type="dxa" w:w="1650"/>
            <w:shd w:fill="2E74B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4"/>
              </w:rPr>
              <w:t>Documento Maestro v1.1</w:t>
            </w:r>
          </w:p>
        </w:tc>
        <w:tc>
          <w:tcPr>
            <w:tcW w:type="dxa" w:w="1800"/>
            <w:shd w:fill="2E74B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4"/>
              </w:rPr>
              <w:t>CMP-010 v0.3</w:t>
            </w:r>
          </w:p>
        </w:tc>
        <w:tc>
          <w:tcPr>
            <w:tcW w:type="dxa" w:w="1750"/>
            <w:shd w:fill="2E74B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4"/>
              </w:rPr>
              <w:t>CMP-011 v0.3</w:t>
            </w:r>
          </w:p>
        </w:tc>
        <w:tc>
          <w:tcPr>
            <w:tcW w:type="dxa" w:w="1750"/>
            <w:shd w:fill="2E74B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4"/>
              </w:rPr>
              <w:t>PI-001 v2.2</w:t>
            </w:r>
          </w:p>
        </w:tc>
        <w:tc>
          <w:tcPr>
            <w:tcW w:type="dxa" w:w="700"/>
            <w:shd w:fill="2E74B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4"/>
              </w:rPr>
              <w:t>Resultado</w:t>
            </w:r>
          </w:p>
        </w:tc>
        <w:tc>
          <w:tcPr>
            <w:tcW w:type="dxa" w:w="1100"/>
            <w:shd w:fill="2E74B5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4"/>
              </w:rPr>
              <w:t>Acción</w:t>
            </w:r>
          </w:p>
        </w:tc>
      </w:tr>
      <w:tr>
        <w:tc>
          <w:tcPr>
            <w:tcW w:type="dxa" w:w="11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Identificación y vigencia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Sección 3.2 y tabla 12: Solución Este E6b, alternativa vigente.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Base comparable!D5 y G5; D14/G14: Solución Este, eje E6b provisional/actual.</w:t>
            </w:r>
          </w:p>
        </w:tc>
        <w:tc>
          <w:tcPr>
            <w:tcW w:type="dxa" w:w="17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Sección 3 y tabla 5: corredor oriental E6b.</w:t>
            </w:r>
          </w:p>
        </w:tc>
        <w:tc>
          <w:tcPr>
            <w:tcW w:type="dxa" w:w="17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Diap. 14-15: eje E6b entre Graus Sur y Graus Este.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Coincide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Ninguna.</w:t>
            </w:r>
          </w:p>
        </w:tc>
      </w:tr>
      <w:tr>
        <w:tc>
          <w:tcPr>
            <w:tcW w:type="dxa" w:w="11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Longitud de eje</w:t>
            </w:r>
          </w:p>
        </w:tc>
        <w:tc>
          <w:tcPr>
            <w:tcW w:type="dxa" w:w="16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10: ≈ 2,74 km.</w:t>
            </w:r>
          </w:p>
        </w:tc>
        <w:tc>
          <w:tcPr>
            <w:tcW w:type="dxa" w:w="18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Base comparable!D5 = 2,7442 km.</w:t>
            </w:r>
          </w:p>
        </w:tc>
        <w:tc>
          <w:tcPr>
            <w:tcW w:type="dxa" w:w="17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5: ≈ 2,74 km.</w:t>
            </w:r>
          </w:p>
        </w:tc>
        <w:tc>
          <w:tcPr>
            <w:tcW w:type="dxa" w:w="17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Diap. 14: 2,744 km.</w:t>
            </w:r>
          </w:p>
        </w:tc>
        <w:tc>
          <w:tcPr>
            <w:tcW w:type="dxa" w:w="7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Coincide por redondeo</w:t>
            </w:r>
          </w:p>
        </w:tc>
        <w:tc>
          <w:tcPr>
            <w:tcW w:type="dxa" w:w="11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Ninguna.</w:t>
            </w:r>
          </w:p>
        </w:tc>
      </w:tr>
      <w:tr>
        <w:tc>
          <w:tcPr>
            <w:tcW w:type="dxa" w:w="11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Viaducto o puente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10: base 650 m; rango económico 450-850 m.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Base comparable!D8 = 650 m; G8 = rango 450-850 m.</w:t>
            </w:r>
          </w:p>
        </w:tc>
        <w:tc>
          <w:tcPr>
            <w:tcW w:type="dxa" w:w="17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5 y tabla 6: 650 m; hipótesis base 450-850 m.</w:t>
            </w:r>
          </w:p>
        </w:tc>
        <w:tc>
          <w:tcPr>
            <w:tcW w:type="dxa" w:w="17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Diap. 14: 650 m.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Coincide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Mantener como hipótesis.</w:t>
            </w:r>
          </w:p>
        </w:tc>
      </w:tr>
      <w:tr>
        <w:tc>
          <w:tcPr>
            <w:tcW w:type="dxa" w:w="11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Pendiente máxima</w:t>
            </w:r>
          </w:p>
        </w:tc>
        <w:tc>
          <w:tcPr>
            <w:tcW w:type="dxa" w:w="16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10: ≈ 5,33 %.</w:t>
            </w:r>
          </w:p>
        </w:tc>
        <w:tc>
          <w:tcPr>
            <w:tcW w:type="dxa" w:w="18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Base comparable!D10 = 5,333 %.</w:t>
            </w:r>
          </w:p>
        </w:tc>
        <w:tc>
          <w:tcPr>
            <w:tcW w:type="dxa" w:w="17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5: ≈ 5,33 %.</w:t>
            </w:r>
          </w:p>
        </w:tc>
        <w:tc>
          <w:tcPr>
            <w:tcW w:type="dxa" w:w="17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Diap. 16: ≈ 5,33 %.</w:t>
            </w:r>
          </w:p>
        </w:tc>
        <w:tc>
          <w:tcPr>
            <w:tcW w:type="dxa" w:w="7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Coincide por redondeo</w:t>
            </w:r>
          </w:p>
        </w:tc>
        <w:tc>
          <w:tcPr>
            <w:tcW w:type="dxa" w:w="11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Ninguna.</w:t>
            </w:r>
          </w:p>
        </w:tc>
      </w:tr>
      <w:tr>
        <w:tc>
          <w:tcPr>
            <w:tcW w:type="dxa" w:w="11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Banda económica e IVA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10: 91,3 / 139,5 / 222,5 M€, con IVA.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Base comparable!D11:D13 = 91,2695 / 139,5207 / 222,4747 M€, IVA incl.</w:t>
            </w:r>
          </w:p>
        </w:tc>
        <w:tc>
          <w:tcPr>
            <w:tcW w:type="dxa" w:w="17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Sección 4.1; tablas 4 y 7: 91,3 / 139,5 / 222,5 M€, con IVA y contingencias.</w:t>
            </w:r>
          </w:p>
        </w:tc>
        <w:tc>
          <w:tcPr>
            <w:tcW w:type="dxa" w:w="17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Diap. 17: 91 / 140 / 223 M€, con IVA y contingencias.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Coincide por redondeo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Ninguna.</w:t>
            </w:r>
          </w:p>
        </w:tc>
      </w:tr>
      <w:tr>
        <w:tc>
          <w:tcPr>
            <w:tcW w:type="dxa" w:w="11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Riesgos, cautelas y estudios</w:t>
            </w:r>
          </w:p>
        </w:tc>
        <w:tc>
          <w:tcPr>
            <w:tcW w:type="dxa" w:w="16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11: hidráulica, cimentaciones, puente, rasante, parcelas, paisaje, patrimonio y conectividad.</w:t>
            </w:r>
          </w:p>
        </w:tc>
        <w:tc>
          <w:tcPr>
            <w:tcW w:type="dxa" w:w="18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Base comparable!G8:G13: hidráulica, rasante, cimentación y validación para pesados.</w:t>
            </w:r>
          </w:p>
        </w:tc>
        <w:tc>
          <w:tcPr>
            <w:tcW w:type="dxa" w:w="17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Secciones 3, 4.1 y tablas 5-6: hidráulica, cimentaciones aluviales, longitud del puente y servicios.</w:t>
            </w:r>
          </w:p>
        </w:tc>
        <w:tc>
          <w:tcPr>
            <w:tcW w:type="dxa" w:w="175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Diap. 14-17 y 19: hidráulica, cimentaciones, paisaje, parcelas, cauce, socavación y ajuste de trazado.</w:t>
            </w:r>
          </w:p>
        </w:tc>
        <w:tc>
          <w:tcPr>
            <w:tcW w:type="dxa" w:w="7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Coincide</w:t>
            </w:r>
          </w:p>
        </w:tc>
        <w:tc>
          <w:tcPr>
            <w:tcW w:type="dxa" w:w="1100"/>
            <w:shd w:fill="F2F4F7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Mantener cautelas.</w:t>
            </w:r>
          </w:p>
        </w:tc>
      </w:tr>
      <w:tr>
        <w:tc>
          <w:tcPr>
            <w:tcW w:type="dxa" w:w="11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Denominaciones Este B / Este C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Tabla 12 y anexo A: antecedentes históricos no operativos.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Sin localizador: CMP-010 no usa B/C como alternativas activas.</w:t>
            </w:r>
          </w:p>
        </w:tc>
        <w:tc>
          <w:tcPr>
            <w:tcW w:type="dxa" w:w="17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Sin localizador: CMP-011 no usa B/C como alternativas activas.</w:t>
            </w:r>
          </w:p>
        </w:tc>
        <w:tc>
          <w:tcPr>
            <w:tcW w:type="dxa" w:w="175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Sin localizador: PI-001 no usa B/C como alternativas activas.</w:t>
            </w:r>
          </w:p>
        </w:tc>
        <w:tc>
          <w:tcPr>
            <w:tcW w:type="dxa" w:w="7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Coincide en estado operativo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4"/>
              </w:rPr>
              <w:t>No corregir. Vincular ficha histórica si se exige acreditar el origen de B/C.</w:t>
            </w:r>
          </w:p>
        </w:tc>
      </w:tr>
    </w:tbl>
    <w:p>
      <w:pPr>
        <w:spacing w:after="60" w:before="20"/>
      </w:pPr>
      <w:r>
        <w:rPr>
          <w:rFonts w:ascii="Calibri" w:hAnsi="Calibri"/>
          <w:b w:val="0"/>
          <w:i/>
          <w:color w:val="555555"/>
          <w:sz w:val="15"/>
        </w:rPr>
        <w:t>Localizadores: CMP-010 = hoja y celda/rango; CMP-011 = sección o tabla; PI-001 = diapositiva.</w:t>
      </w:r>
    </w:p>
    <w:p>
      <w:r>
        <w:br w:type="page"/>
      </w:r>
    </w:p>
    <w:p>
      <w:pPr>
        <w:spacing w:before="200" w:after="80"/>
      </w:pPr>
      <w:r>
        <w:rPr>
          <w:rFonts w:ascii="Calibri" w:hAnsi="Calibri"/>
          <w:b/>
          <w:i w:val="0"/>
          <w:color w:val="2E74B5"/>
          <w:sz w:val="26"/>
        </w:rPr>
        <w:t>5. Conclusión de la verificación</w:t>
      </w:r>
    </w:p>
    <w:p>
      <w:pPr>
        <w:spacing w:before="0" w:after="80" w:line="264" w:lineRule="auto"/>
      </w:pPr>
      <w:r>
        <w:rPr>
          <w:rFonts w:ascii="Calibri" w:hAnsi="Calibri"/>
          <w:b w:val="0"/>
          <w:i w:val="0"/>
          <w:color w:val="0B2545"/>
          <w:sz w:val="18"/>
        </w:rPr>
        <w:t>No se detectan discrepancias que requieran modificar el Documento Maestro v1.1. Las diferencias observadas son únicamente de precisión y redondeo editorial entre el dato de cálculo, la síntesis comparativa y la presentación. La condición vigente de las alternativas se mantiene: Oeste y Este E6b. Las denominaciones Este B y Este C no se activan en ninguna de las tres fuentes comprobadas.</w:t>
      </w:r>
    </w:p>
    <w:p>
      <w:pPr>
        <w:spacing w:before="0" w:after="80" w:line="264" w:lineRule="auto"/>
      </w:pPr>
      <w:r>
        <w:rPr>
          <w:rFonts w:ascii="Calibri" w:hAnsi="Calibri"/>
          <w:b w:val="0"/>
          <w:i/>
          <w:color w:val="555555"/>
          <w:sz w:val="18"/>
        </w:rPr>
        <w:t>Carácter del acta: este documento tiene finalidad exclusivamente informativa y documental. No constituye validación técnica, proyecto constructivo, informe pericial, decisión administrativa ni sustitución de estudios especializados. Las conclusiones técnicas, cuando correspondan, deberán proceder de los estudios, procedimientos y profesionales competentes.</w:t>
      </w:r>
    </w:p>
    <w:p>
      <w:pPr>
        <w:spacing w:before="80" w:after="0"/>
      </w:pPr>
      <w:r>
        <w:rPr>
          <w:rFonts w:ascii="Calibri" w:hAnsi="Calibri"/>
          <w:b/>
          <w:i w:val="0"/>
          <w:color w:val="1F3A5F"/>
          <w:sz w:val="19"/>
        </w:rPr>
        <w:t>Resultado: validación documental favorable para continuidad de la revisión del Documento Maestro v1.1, sin corrección técnica derivada de este contraste.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792" w:right="792" w:bottom="792" w:left="79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/>
        <w:i w:val="0"/>
        <w:color w:val="555555"/>
        <w:sz w:val="16"/>
      </w:rPr>
      <w:t>TRABAJO INTERNO · PARA-REVISION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555555"/>
        <w:sz w:val="16"/>
      </w:rPr>
      <w:t>PROYECTO ÉSERA 2050 · ACTA DE VERIFICACIÓN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B2545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