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40" w:after="120"/>
        <w:jc w:val="center"/>
      </w:pPr>
      <w:r>
        <w:rPr>
          <w:rFonts w:ascii="Calibri" w:hAnsi="Calibri"/>
          <w:b/>
          <w:color w:val="D16D2A"/>
          <w:sz w:val="24"/>
        </w:rPr>
        <w:t>PROYECTO ÉSERA 2050</w:t>
      </w:r>
    </w:p>
    <w:p>
      <w:pPr>
        <w:spacing w:after="200"/>
        <w:jc w:val="center"/>
      </w:pPr>
      <w:r>
        <w:rPr>
          <w:rFonts w:ascii="Calibri" w:hAnsi="Calibri"/>
          <w:b/>
          <w:color w:val="007E69"/>
          <w:sz w:val="20"/>
        </w:rPr>
        <w:t>CAPÍTULO I</w:t>
      </w:r>
    </w:p>
    <w:p>
      <w:pPr>
        <w:spacing w:after="160"/>
        <w:jc w:val="center"/>
      </w:pPr>
      <w:r>
        <w:rPr>
          <w:rFonts w:ascii="Calibri" w:hAnsi="Calibri"/>
          <w:b/>
          <w:color w:val="123E4C"/>
          <w:sz w:val="62"/>
        </w:rPr>
        <w:t>Variante de Graus</w:t>
      </w:r>
    </w:p>
    <w:p>
      <w:pPr>
        <w:spacing w:after="360"/>
        <w:jc w:val="center"/>
      </w:pPr>
      <w:r>
        <w:rPr>
          <w:rFonts w:ascii="Calibri" w:hAnsi="Calibri"/>
          <w:b w:val="0"/>
          <w:color w:val="007E69"/>
          <w:sz w:val="36"/>
        </w:rPr>
        <w:t>Documento Maestro</w:t>
      </w:r>
    </w:p>
    <w:p>
      <w:pPr>
        <w:spacing w:after="720"/>
        <w:jc w:val="center"/>
      </w:pPr>
      <w:r>
        <w:rPr>
          <w:rFonts w:ascii="Calibri" w:hAnsi="Calibri"/>
          <w:color w:val="173B4D"/>
          <w:sz w:val="25"/>
        </w:rPr>
        <w:t>Visión territorial, criterios, estado de trabajo y hoja de ruta para una decisión informada.</w:t>
      </w:r>
    </w:p>
    <w:tbl>
      <w:tblPr>
        <w:tblW w:type="auto" w:w="0"/>
        <w:tblLook w:firstColumn="1" w:firstRow="1" w:lastColumn="0" w:lastRow="0" w:noHBand="0" w:noVBand="1" w:val="04A0"/>
        <w:jc w:val="center"/>
        <w:tblLayout w:type="fixed"/>
      </w:tblPr>
      <w:tblGrid>
        <w:gridCol w:w="2381"/>
        <w:gridCol w:w="7256"/>
      </w:tblGrid>
      <w:tr>
        <w:tc>
          <w:tcPr>
            <w:tcW w:type="dxa" w:w="2381"/>
            <w:shd w:fill="123E4C"/>
            <w:tcMar>
              <w:top w:w="125" w:type="dxa"/>
              <w:start w:w="160" w:type="dxa"/>
              <w:bottom w:w="125" w:type="dxa"/>
              <w:end w:w="160" w:type="dxa"/>
            </w:tcMar>
          </w:tcPr>
          <w:p>
            <w:pPr>
              <w:spacing w:after="0"/>
            </w:pPr>
            <w:r>
              <w:rPr>
                <w:rFonts w:ascii="Calibri" w:hAnsi="Calibri"/>
                <w:b/>
                <w:color w:val="FFFFFF"/>
                <w:sz w:val="17"/>
              </w:rPr>
              <w:t>CÓDIGO</w:t>
            </w:r>
          </w:p>
        </w:tc>
        <w:tc>
          <w:tcPr>
            <w:tcW w:type="dxa" w:w="7256"/>
            <w:shd w:fill="F2F7F5"/>
            <w:tcMar>
              <w:top w:w="125" w:type="dxa"/>
              <w:start w:w="160" w:type="dxa"/>
              <w:bottom w:w="125" w:type="dxa"/>
              <w:end w:w="160" w:type="dxa"/>
            </w:tcMar>
          </w:tcPr>
          <w:p>
            <w:pPr>
              <w:spacing w:after="0"/>
            </w:pPr>
            <w:r>
              <w:rPr>
                <w:rFonts w:ascii="Calibri" w:hAnsi="Calibri"/>
                <w:b w:val="0"/>
                <w:color w:val="173B4D"/>
                <w:sz w:val="20"/>
              </w:rPr>
              <w:t>PE2050-C1-DM-001</w:t>
            </w:r>
          </w:p>
        </w:tc>
      </w:tr>
      <w:tr>
        <w:tc>
          <w:tcPr>
            <w:tcW w:type="dxa" w:w="2381"/>
            <w:shd w:fill="123E4C"/>
            <w:tcMar>
              <w:top w:w="125" w:type="dxa"/>
              <w:start w:w="160" w:type="dxa"/>
              <w:bottom w:w="125" w:type="dxa"/>
              <w:end w:w="160" w:type="dxa"/>
            </w:tcMar>
          </w:tcPr>
          <w:p>
            <w:pPr>
              <w:spacing w:after="0"/>
            </w:pPr>
            <w:r>
              <w:rPr>
                <w:rFonts w:ascii="Calibri" w:hAnsi="Calibri"/>
                <w:b/>
                <w:color w:val="FFFFFF"/>
                <w:sz w:val="17"/>
              </w:rPr>
              <w:t>VERSIÓN</w:t>
            </w:r>
          </w:p>
        </w:tc>
        <w:tc>
          <w:tcPr>
            <w:tcW w:type="dxa" w:w="7256"/>
            <w:shd w:fill="F2F7F5"/>
            <w:tcMar>
              <w:top w:w="125" w:type="dxa"/>
              <w:start w:w="160" w:type="dxa"/>
              <w:bottom w:w="125" w:type="dxa"/>
              <w:end w:w="160" w:type="dxa"/>
            </w:tcMar>
          </w:tcPr>
          <w:p>
            <w:pPr>
              <w:spacing w:after="0"/>
            </w:pPr>
            <w:r>
              <w:rPr>
                <w:rFonts w:ascii="Calibri" w:hAnsi="Calibri"/>
                <w:b/>
                <w:color w:val="173B4D"/>
                <w:sz w:val="20"/>
              </w:rPr>
              <w:t>v1.1 · Para revisión</w:t>
            </w:r>
          </w:p>
        </w:tc>
      </w:tr>
      <w:tr>
        <w:tc>
          <w:tcPr>
            <w:tcW w:type="dxa" w:w="2381"/>
            <w:shd w:fill="123E4C"/>
            <w:tcMar>
              <w:top w:w="125" w:type="dxa"/>
              <w:start w:w="160" w:type="dxa"/>
              <w:bottom w:w="125" w:type="dxa"/>
              <w:end w:w="160" w:type="dxa"/>
            </w:tcMar>
          </w:tcPr>
          <w:p>
            <w:pPr>
              <w:spacing w:after="0"/>
            </w:pPr>
            <w:r>
              <w:rPr>
                <w:rFonts w:ascii="Calibri" w:hAnsi="Calibri"/>
                <w:b/>
                <w:color w:val="FFFFFF"/>
                <w:sz w:val="17"/>
              </w:rPr>
              <w:t>FECHA</w:t>
            </w:r>
          </w:p>
        </w:tc>
        <w:tc>
          <w:tcPr>
            <w:tcW w:type="dxa" w:w="7256"/>
            <w:shd w:fill="F2F7F5"/>
            <w:tcMar>
              <w:top w:w="125" w:type="dxa"/>
              <w:start w:w="160" w:type="dxa"/>
              <w:bottom w:w="125" w:type="dxa"/>
              <w:end w:w="160" w:type="dxa"/>
            </w:tcMar>
          </w:tcPr>
          <w:p>
            <w:pPr>
              <w:spacing w:after="0"/>
            </w:pPr>
            <w:r>
              <w:rPr>
                <w:rFonts w:ascii="Calibri" w:hAnsi="Calibri"/>
                <w:b w:val="0"/>
                <w:color w:val="173B4D"/>
                <w:sz w:val="20"/>
              </w:rPr>
              <w:t>4 de septiembre de 2026</w:t>
            </w:r>
          </w:p>
        </w:tc>
      </w:tr>
    </w:tbl>
    <w:p>
      <w:pPr>
        <w:spacing w:after="560"/>
      </w:pP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FINALIDAD DE ESTA VERSIÓN</w:t>
            </w:r>
          </w:p>
          <w:p>
            <w:pPr>
              <w:spacing w:after="0" w:line="283" w:lineRule="auto"/>
            </w:pPr>
            <w:r>
              <w:rPr>
                <w:rFonts w:ascii="Calibri" w:hAnsi="Calibri"/>
                <w:color w:val="173B4D"/>
                <w:sz w:val="20"/>
              </w:rPr>
              <w:t>Ordenar en un único documento el trabajo conceptual realizado, separar lo confirmado de lo pendiente y conservar la trazabilidad del estado técnico vigente. La v1.1 sustituye a la v1.0 inicial únicamente para revisión; no está aprobada, no es vigente ni para firma y no habilita todavía la creación de una Skill.</w:t>
            </w:r>
          </w:p>
        </w:tc>
      </w:tr>
    </w:tbl>
    <w:p>
      <w:pPr>
        <w:spacing w:after="20"/>
      </w:pPr>
    </w:p>
    <w:p>
      <w:pPr>
        <w:spacing w:after="0"/>
        <w:jc w:val="center"/>
      </w:pPr>
      <w:r>
        <w:rPr>
          <w:rFonts w:ascii="Calibri" w:hAnsi="Calibri"/>
          <w:i/>
          <w:color w:val="567080"/>
          <w:sz w:val="18"/>
        </w:rPr>
        <w:t>Clasificación: TRABAJO INTERNO · Documento conceptual de revisión</w:t>
      </w:r>
    </w:p>
    <w:p>
      <w:r>
        <w:br w:type="page"/>
      </w:r>
    </w:p>
    <w:p>
      <w:pPr>
        <w:pStyle w:val="Heading1"/>
      </w:pPr>
      <w:r>
        <w:rPr>
          <w:rFonts w:ascii="Calibri" w:hAnsi="Calibri"/>
        </w:rPr>
        <w:t>0. Cómo leer este Documento Maestro</w:t>
      </w:r>
    </w:p>
    <w:p>
      <w:r>
        <w:rPr>
          <w:rFonts w:ascii="Calibri" w:hAnsi="Calibri"/>
        </w:rPr>
        <w:t>Este documento no sustituye los estudios técnicos, ambientales, geotécnicos, de tráfico ni de participación que serán necesarios en fases posteriores. Reúne la dirección de proyecto y el estado de conocimiento actual para que cada decisión futura sea trazable.</w:t>
      </w:r>
    </w:p>
    <w:tbl>
      <w:tblPr>
        <w:tblW w:type="auto" w:w="0"/>
        <w:tblLook w:firstColumn="1" w:firstRow="1" w:lastColumn="0" w:lastRow="0" w:noHBand="0" w:noVBand="1" w:val="04A0"/>
        <w:jc w:val="center"/>
        <w:tblLayout w:type="fixed"/>
      </w:tblPr>
      <w:tblGrid>
        <w:gridCol w:w="2267"/>
        <w:gridCol w:w="7370"/>
      </w:tblGrid>
      <w:tr>
        <w:trPr>
          <w:tblHeader w:val="true"/>
        </w:trPr>
        <w:tc>
          <w:tcPr>
            <w:tcW w:type="dxa" w:w="2267"/>
            <w:shd w:fill="123E4C"/>
            <w:tcMar>
              <w:top w:w="90" w:type="dxa"/>
              <w:start w:w="120" w:type="dxa"/>
              <w:bottom w:w="90" w:type="dxa"/>
              <w:end w:w="120" w:type="dxa"/>
            </w:tcMar>
            <w:vAlign w:val="center"/>
          </w:tcPr>
          <w:p>
            <w:pPr>
              <w:spacing w:after="0"/>
            </w:pPr>
            <w:r>
              <w:rPr>
                <w:rFonts w:ascii="Calibri" w:hAnsi="Calibri"/>
                <w:b/>
                <w:color w:val="FFFFFF"/>
                <w:sz w:val="17"/>
              </w:rPr>
              <w:t>Etiqueta</w:t>
            </w:r>
          </w:p>
        </w:tc>
        <w:tc>
          <w:tcPr>
            <w:tcW w:type="dxa" w:w="7370"/>
            <w:shd w:fill="123E4C"/>
            <w:tcMar>
              <w:top w:w="90" w:type="dxa"/>
              <w:start w:w="120" w:type="dxa"/>
              <w:bottom w:w="90" w:type="dxa"/>
              <w:end w:w="120" w:type="dxa"/>
            </w:tcMar>
            <w:vAlign w:val="center"/>
          </w:tcPr>
          <w:p>
            <w:pPr>
              <w:spacing w:after="0"/>
            </w:pPr>
            <w:r>
              <w:rPr>
                <w:rFonts w:ascii="Calibri" w:hAnsi="Calibri"/>
                <w:b/>
                <w:color w:val="FFFFFF"/>
                <w:sz w:val="17"/>
              </w:rPr>
              <w:t>Significado operativo</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Hecho / fuente</w:t>
            </w:r>
          </w:p>
        </w:tc>
        <w:tc>
          <w:tcPr>
            <w:tcW w:type="dxa" w:w="7370"/>
            <w:tcMar>
              <w:top w:w="90" w:type="dxa"/>
              <w:start w:w="120" w:type="dxa"/>
              <w:bottom w:w="90" w:type="dxa"/>
              <w:end w:w="120" w:type="dxa"/>
            </w:tcMar>
            <w:vAlign w:val="top"/>
          </w:tcPr>
          <w:p>
            <w:pPr>
              <w:spacing w:after="40" w:line="264" w:lineRule="auto"/>
            </w:pPr>
            <w:r>
              <w:rPr>
                <w:rFonts w:ascii="Calibri" w:hAnsi="Calibri"/>
                <w:color w:val="173B4D"/>
                <w:sz w:val="17"/>
              </w:rPr>
              <w:t>Dato identificado con origen, fecha y alcance. No implica una conclusión por sí mismo.</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Hipótesis</w:t>
            </w:r>
          </w:p>
        </w:tc>
        <w:tc>
          <w:tcPr>
            <w:tcW w:type="dxa" w:w="7370"/>
            <w:tcMar>
              <w:top w:w="90" w:type="dxa"/>
              <w:start w:w="120" w:type="dxa"/>
              <w:bottom w:w="90" w:type="dxa"/>
              <w:end w:w="120" w:type="dxa"/>
            </w:tcMar>
            <w:vAlign w:val="top"/>
            <w:shd w:fill="F7FAF9"/>
          </w:tcPr>
          <w:p>
            <w:pPr>
              <w:spacing w:after="40" w:line="264" w:lineRule="auto"/>
            </w:pPr>
            <w:r>
              <w:rPr>
                <w:rFonts w:ascii="Calibri" w:hAnsi="Calibri"/>
                <w:color w:val="173B4D"/>
                <w:sz w:val="17"/>
              </w:rPr>
              <w:t>Supuesto de trabajo que permite explorar una opción; requiere validación antes de consolidarse.</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Criterio</w:t>
            </w:r>
          </w:p>
        </w:tc>
        <w:tc>
          <w:tcPr>
            <w:tcW w:type="dxa" w:w="7370"/>
            <w:tcMar>
              <w:top w:w="90" w:type="dxa"/>
              <w:start w:w="120" w:type="dxa"/>
              <w:bottom w:w="90" w:type="dxa"/>
              <w:end w:w="120" w:type="dxa"/>
            </w:tcMar>
            <w:vAlign w:val="top"/>
          </w:tcPr>
          <w:p>
            <w:pPr>
              <w:spacing w:after="40" w:line="264" w:lineRule="auto"/>
            </w:pPr>
            <w:r>
              <w:rPr>
                <w:rFonts w:ascii="Calibri" w:hAnsi="Calibri"/>
                <w:color w:val="173B4D"/>
                <w:sz w:val="17"/>
              </w:rPr>
              <w:t>Regla de evaluación común aplicada a todas las alternativas.</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Decisión</w:t>
            </w:r>
          </w:p>
        </w:tc>
        <w:tc>
          <w:tcPr>
            <w:tcW w:type="dxa" w:w="7370"/>
            <w:tcMar>
              <w:top w:w="90" w:type="dxa"/>
              <w:start w:w="120" w:type="dxa"/>
              <w:bottom w:w="90" w:type="dxa"/>
              <w:end w:w="120" w:type="dxa"/>
            </w:tcMar>
            <w:vAlign w:val="top"/>
            <w:shd w:fill="F7FAF9"/>
          </w:tcPr>
          <w:p>
            <w:pPr>
              <w:spacing w:after="40" w:line="264" w:lineRule="auto"/>
            </w:pPr>
            <w:r>
              <w:rPr>
                <w:rFonts w:ascii="Calibri" w:hAnsi="Calibri"/>
                <w:color w:val="173B4D"/>
                <w:sz w:val="17"/>
              </w:rPr>
              <w:t>Acuerdo de trabajo registrado, con motivo, responsable y consecuencias documentales.</w:t>
            </w:r>
          </w:p>
        </w:tc>
      </w:tr>
    </w:tbl>
    <w:p>
      <w:pPr>
        <w:spacing w:after="40"/>
      </w:pPr>
    </w:p>
    <w:p>
      <w:pPr>
        <w:pStyle w:val="Heading2"/>
      </w:pPr>
      <w:r>
        <w:rPr>
          <w:rFonts w:ascii="Calibri" w:hAnsi="Calibri"/>
        </w:rPr>
        <w:t>0.1 Control de versión</w:t>
      </w:r>
    </w:p>
    <w:tbl>
      <w:tblPr>
        <w:tblW w:type="auto" w:w="0"/>
        <w:tblLook w:firstColumn="1" w:firstRow="1" w:lastColumn="0" w:lastRow="0" w:noHBand="0" w:noVBand="1" w:val="04A0"/>
        <w:jc w:val="center"/>
        <w:tblLayout w:type="fixed"/>
      </w:tblPr>
      <w:tblGrid>
        <w:gridCol w:w="1133"/>
        <w:gridCol w:w="1417"/>
        <w:gridCol w:w="4932"/>
        <w:gridCol w:w="2154"/>
      </w:tblGrid>
      <w:tr>
        <w:trPr>
          <w:tblHeader w:val="true"/>
        </w:trPr>
        <w:tc>
          <w:tcPr>
            <w:tcW w:type="dxa" w:w="1133"/>
            <w:shd w:fill="123E4C"/>
            <w:tcMar>
              <w:top w:w="90" w:type="dxa"/>
              <w:start w:w="120" w:type="dxa"/>
              <w:bottom w:w="90" w:type="dxa"/>
              <w:end w:w="120" w:type="dxa"/>
            </w:tcMar>
            <w:vAlign w:val="center"/>
          </w:tcPr>
          <w:p>
            <w:pPr>
              <w:spacing w:after="0"/>
            </w:pPr>
            <w:r>
              <w:rPr>
                <w:rFonts w:ascii="Calibri" w:hAnsi="Calibri"/>
                <w:b/>
                <w:color w:val="FFFFFF"/>
                <w:sz w:val="17"/>
              </w:rPr>
              <w:t>Versión</w:t>
            </w:r>
          </w:p>
        </w:tc>
        <w:tc>
          <w:tcPr>
            <w:tcW w:type="dxa" w:w="1417"/>
            <w:shd w:fill="123E4C"/>
            <w:tcMar>
              <w:top w:w="90" w:type="dxa"/>
              <w:start w:w="120" w:type="dxa"/>
              <w:bottom w:w="90" w:type="dxa"/>
              <w:end w:w="120" w:type="dxa"/>
            </w:tcMar>
            <w:vAlign w:val="center"/>
          </w:tcPr>
          <w:p>
            <w:pPr>
              <w:spacing w:after="0"/>
            </w:pPr>
            <w:r>
              <w:rPr>
                <w:rFonts w:ascii="Calibri" w:hAnsi="Calibri"/>
                <w:b/>
                <w:color w:val="FFFFFF"/>
                <w:sz w:val="17"/>
              </w:rPr>
              <w:t>Fecha</w:t>
            </w:r>
          </w:p>
        </w:tc>
        <w:tc>
          <w:tcPr>
            <w:tcW w:type="dxa" w:w="4932"/>
            <w:shd w:fill="123E4C"/>
            <w:tcMar>
              <w:top w:w="90" w:type="dxa"/>
              <w:start w:w="120" w:type="dxa"/>
              <w:bottom w:w="90" w:type="dxa"/>
              <w:end w:w="120" w:type="dxa"/>
            </w:tcMar>
            <w:vAlign w:val="center"/>
          </w:tcPr>
          <w:p>
            <w:pPr>
              <w:spacing w:after="0"/>
            </w:pPr>
            <w:r>
              <w:rPr>
                <w:rFonts w:ascii="Calibri" w:hAnsi="Calibri"/>
                <w:b/>
                <w:color w:val="FFFFFF"/>
                <w:sz w:val="17"/>
              </w:rPr>
              <w:t>Contenido</w:t>
            </w:r>
          </w:p>
        </w:tc>
        <w:tc>
          <w:tcPr>
            <w:tcW w:type="dxa" w:w="2154"/>
            <w:shd w:fill="123E4C"/>
            <w:tcMar>
              <w:top w:w="90" w:type="dxa"/>
              <w:start w:w="120" w:type="dxa"/>
              <w:bottom w:w="90" w:type="dxa"/>
              <w:end w:w="120" w:type="dxa"/>
            </w:tcMar>
            <w:vAlign w:val="center"/>
          </w:tcPr>
          <w:p>
            <w:pPr>
              <w:spacing w:after="0"/>
            </w:pPr>
            <w:r>
              <w:rPr>
                <w:rFonts w:ascii="Calibri" w:hAnsi="Calibri"/>
                <w:b/>
                <w:color w:val="FFFFFF"/>
                <w:sz w:val="17"/>
              </w:rPr>
              <w:t>Estado</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v0.3</w:t>
            </w:r>
          </w:p>
        </w:tc>
        <w:tc>
          <w:tcPr>
            <w:tcW w:type="dxa" w:w="1417"/>
            <w:tcMar>
              <w:top w:w="90" w:type="dxa"/>
              <w:start w:w="120" w:type="dxa"/>
              <w:bottom w:w="90" w:type="dxa"/>
              <w:end w:w="120" w:type="dxa"/>
            </w:tcMar>
            <w:vAlign w:val="top"/>
          </w:tcPr>
          <w:p>
            <w:pPr>
              <w:spacing w:after="40" w:line="264" w:lineRule="auto"/>
            </w:pPr>
            <w:r>
              <w:rPr>
                <w:rFonts w:ascii="Calibri" w:hAnsi="Calibri"/>
                <w:color w:val="173B4D"/>
                <w:sz w:val="17"/>
              </w:rPr>
              <w:t>22/07/2026</w:t>
            </w:r>
          </w:p>
        </w:tc>
        <w:tc>
          <w:tcPr>
            <w:tcW w:type="dxa" w:w="4932"/>
            <w:tcMar>
              <w:top w:w="90" w:type="dxa"/>
              <w:start w:w="120" w:type="dxa"/>
              <w:bottom w:w="90" w:type="dxa"/>
              <w:end w:w="120" w:type="dxa"/>
            </w:tcMar>
            <w:vAlign w:val="top"/>
          </w:tcPr>
          <w:p>
            <w:pPr>
              <w:spacing w:after="40" w:line="264" w:lineRule="auto"/>
            </w:pPr>
            <w:r>
              <w:rPr>
                <w:rFonts w:ascii="Calibri" w:hAnsi="Calibri"/>
                <w:color w:val="173B4D"/>
                <w:sz w:val="17"/>
              </w:rPr>
              <w:t>Fase 0: marco documental, fuentes, gobernanza y criterios previos a formular alternativas.</w:t>
            </w:r>
          </w:p>
        </w:tc>
        <w:tc>
          <w:tcPr>
            <w:tcW w:type="dxa" w:w="2154"/>
            <w:tcMar>
              <w:top w:w="90" w:type="dxa"/>
              <w:start w:w="120" w:type="dxa"/>
              <w:bottom w:w="90" w:type="dxa"/>
              <w:end w:w="120" w:type="dxa"/>
            </w:tcMar>
            <w:vAlign w:val="top"/>
          </w:tcPr>
          <w:p>
            <w:pPr>
              <w:spacing w:after="40" w:line="264" w:lineRule="auto"/>
            </w:pPr>
            <w:r>
              <w:rPr>
                <w:rFonts w:ascii="Calibri" w:hAnsi="Calibri"/>
                <w:color w:val="173B4D"/>
                <w:sz w:val="17"/>
              </w:rPr>
              <w:t>Histórico / archivo</w:t>
            </w:r>
          </w:p>
        </w:tc>
      </w:tr>
      <w:tr>
        <w:tc>
          <w:tcPr>
            <w:tcW w:type="dxa" w:w="1133"/>
            <w:tcMar>
              <w:top w:w="90" w:type="dxa"/>
              <w:start w:w="120" w:type="dxa"/>
              <w:bottom w:w="90" w:type="dxa"/>
              <w:end w:w="120" w:type="dxa"/>
            </w:tcMar>
            <w:vAlign w:val="top"/>
            <w:shd w:fill="F7FAF9"/>
          </w:tcPr>
          <w:p>
            <w:pPr>
              <w:spacing w:after="40" w:line="264" w:lineRule="auto"/>
            </w:pPr>
            <w:r>
              <w:rPr>
                <w:rFonts w:ascii="Calibri" w:hAnsi="Calibri"/>
                <w:color w:val="173B4D"/>
                <w:sz w:val="17"/>
              </w:rPr>
              <w:t>v1.0 inicial</w:t>
            </w:r>
          </w:p>
        </w:tc>
        <w:tc>
          <w:tcPr>
            <w:tcW w:type="dxa" w:w="1417"/>
            <w:tcMar>
              <w:top w:w="90" w:type="dxa"/>
              <w:start w:w="120" w:type="dxa"/>
              <w:bottom w:w="90" w:type="dxa"/>
              <w:end w:w="120" w:type="dxa"/>
            </w:tcMar>
            <w:vAlign w:val="top"/>
            <w:shd w:fill="F7FAF9"/>
          </w:tcPr>
          <w:p>
            <w:pPr>
              <w:spacing w:after="40" w:line="264" w:lineRule="auto"/>
            </w:pPr>
            <w:r>
              <w:rPr>
                <w:rFonts w:ascii="Calibri" w:hAnsi="Calibri"/>
                <w:color w:val="173B4D"/>
                <w:sz w:val="17"/>
              </w:rPr>
              <w:t>04/09/2026</w:t>
            </w:r>
          </w:p>
        </w:tc>
        <w:tc>
          <w:tcPr>
            <w:tcW w:type="dxa" w:w="4932"/>
            <w:tcMar>
              <w:top w:w="90" w:type="dxa"/>
              <w:start w:w="120" w:type="dxa"/>
              <w:bottom w:w="90" w:type="dxa"/>
              <w:end w:w="120" w:type="dxa"/>
            </w:tcMar>
            <w:vAlign w:val="top"/>
            <w:shd w:fill="F7FAF9"/>
          </w:tcPr>
          <w:p>
            <w:pPr>
              <w:spacing w:after="40" w:line="264" w:lineRule="auto"/>
            </w:pPr>
            <w:r>
              <w:rPr>
                <w:rFonts w:ascii="Calibri" w:hAnsi="Calibri"/>
                <w:color w:val="173B4D"/>
                <w:sz w:val="17"/>
              </w:rPr>
              <w:t>Reordenación narrativa del proyecto; omite parte de la ficha técnica vigente y trata B/C de forma incorrecta.</w:t>
            </w:r>
          </w:p>
        </w:tc>
        <w:tc>
          <w:tcPr>
            <w:tcW w:type="dxa" w:w="2154"/>
            <w:tcMar>
              <w:top w:w="90" w:type="dxa"/>
              <w:start w:w="120" w:type="dxa"/>
              <w:bottom w:w="90" w:type="dxa"/>
              <w:end w:w="120" w:type="dxa"/>
            </w:tcMar>
            <w:vAlign w:val="top"/>
            <w:shd w:fill="F7FAF9"/>
          </w:tcPr>
          <w:p>
            <w:pPr>
              <w:spacing w:after="40" w:line="264" w:lineRule="auto"/>
            </w:pPr>
            <w:r>
              <w:rPr>
                <w:rFonts w:ascii="Calibri" w:hAnsi="Calibri"/>
                <w:color w:val="173B4D"/>
                <w:sz w:val="17"/>
              </w:rPr>
              <w:t>Sustituida / archivo</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v1.1</w:t>
            </w:r>
          </w:p>
        </w:tc>
        <w:tc>
          <w:tcPr>
            <w:tcW w:type="dxa" w:w="1417"/>
            <w:tcMar>
              <w:top w:w="90" w:type="dxa"/>
              <w:start w:w="120" w:type="dxa"/>
              <w:bottom w:w="90" w:type="dxa"/>
              <w:end w:w="120" w:type="dxa"/>
            </w:tcMar>
            <w:vAlign w:val="top"/>
          </w:tcPr>
          <w:p>
            <w:pPr>
              <w:spacing w:after="40" w:line="264" w:lineRule="auto"/>
            </w:pPr>
            <w:r>
              <w:rPr>
                <w:rFonts w:ascii="Calibri" w:hAnsi="Calibri"/>
                <w:color w:val="173B4D"/>
                <w:sz w:val="17"/>
              </w:rPr>
              <w:t>04/09/2026</w:t>
            </w:r>
          </w:p>
        </w:tc>
        <w:tc>
          <w:tcPr>
            <w:tcW w:type="dxa" w:w="4932"/>
            <w:tcMar>
              <w:top w:w="90" w:type="dxa"/>
              <w:start w:w="120" w:type="dxa"/>
              <w:bottom w:w="90" w:type="dxa"/>
              <w:end w:w="120" w:type="dxa"/>
            </w:tcMar>
            <w:vAlign w:val="top"/>
          </w:tcPr>
          <w:p>
            <w:pPr>
              <w:spacing w:after="40" w:line="264" w:lineRule="auto"/>
            </w:pPr>
            <w:r>
              <w:rPr>
                <w:rFonts w:ascii="Calibri" w:hAnsi="Calibri"/>
                <w:color w:val="173B4D"/>
                <w:sz w:val="17"/>
              </w:rPr>
              <w:t>Restituye y contrasta el estado técnico vigente Oeste–Este E6b; conserva B/C como antecedentes históricos.</w:t>
            </w:r>
          </w:p>
        </w:tc>
        <w:tc>
          <w:tcPr>
            <w:tcW w:type="dxa" w:w="2154"/>
            <w:tcMar>
              <w:top w:w="90" w:type="dxa"/>
              <w:start w:w="120" w:type="dxa"/>
              <w:bottom w:w="90" w:type="dxa"/>
              <w:end w:w="120" w:type="dxa"/>
            </w:tcMar>
            <w:vAlign w:val="top"/>
          </w:tcPr>
          <w:p>
            <w:pPr>
              <w:spacing w:after="40" w:line="264" w:lineRule="auto"/>
            </w:pPr>
            <w:r>
              <w:rPr>
                <w:rFonts w:ascii="Calibri" w:hAnsi="Calibri"/>
                <w:color w:val="173B4D"/>
                <w:sz w:val="17"/>
              </w:rPr>
              <w:t>TRABAJO INTERNO · PARA-REVISION</w:t>
            </w:r>
          </w:p>
        </w:tc>
      </w:tr>
    </w:tbl>
    <w:p>
      <w:pPr>
        <w:spacing w:after="40"/>
      </w:pPr>
    </w:p>
    <w:p>
      <w:pPr>
        <w:pStyle w:val="Heading2"/>
      </w:pPr>
      <w:r>
        <w:rPr>
          <w:rFonts w:ascii="Calibri" w:hAnsi="Calibri"/>
        </w:rPr>
        <w:t>0.2 Índice de contenido</w:t>
      </w:r>
    </w:p>
    <w:p>
      <w:pPr>
        <w:spacing w:after="80" w:line="290" w:lineRule="auto"/>
        <w:ind w:left="369" w:hanging="255"/>
      </w:pPr>
      <w:r>
        <w:rPr>
          <w:rFonts w:ascii="Calibri" w:hAnsi="Calibri"/>
          <w:b/>
          <w:color w:val="007E69"/>
          <w:sz w:val="22"/>
        </w:rPr>
        <w:t xml:space="preserve">•  </w:t>
      </w:r>
      <w:r>
        <w:rPr>
          <w:rFonts w:ascii="Calibri" w:hAnsi="Calibri"/>
          <w:color w:val="173B4D"/>
          <w:sz w:val="22"/>
        </w:rPr>
        <w:t>1. Visión y propósito territorial</w:t>
      </w:r>
    </w:p>
    <w:p>
      <w:pPr>
        <w:spacing w:after="80" w:line="290" w:lineRule="auto"/>
        <w:ind w:left="369" w:hanging="255"/>
      </w:pPr>
      <w:r>
        <w:rPr>
          <w:rFonts w:ascii="Calibri" w:hAnsi="Calibri"/>
          <w:b/>
          <w:color w:val="007E69"/>
          <w:sz w:val="22"/>
        </w:rPr>
        <w:t xml:space="preserve">•  </w:t>
      </w:r>
      <w:r>
        <w:rPr>
          <w:rFonts w:ascii="Calibri" w:hAnsi="Calibri"/>
          <w:color w:val="173B4D"/>
          <w:sz w:val="22"/>
        </w:rPr>
        <w:t>2. Alcance, límites y principios</w:t>
      </w:r>
    </w:p>
    <w:p>
      <w:pPr>
        <w:spacing w:after="80" w:line="290" w:lineRule="auto"/>
        <w:ind w:left="369" w:hanging="255"/>
      </w:pPr>
      <w:r>
        <w:rPr>
          <w:rFonts w:ascii="Calibri" w:hAnsi="Calibri"/>
          <w:b/>
          <w:color w:val="007E69"/>
          <w:sz w:val="22"/>
        </w:rPr>
        <w:t xml:space="preserve">•  </w:t>
      </w:r>
      <w:r>
        <w:rPr>
          <w:rFonts w:ascii="Calibri" w:hAnsi="Calibri"/>
          <w:color w:val="173B4D"/>
          <w:sz w:val="22"/>
        </w:rPr>
        <w:t>3. Alternativas de corredor: Oeste y Este</w:t>
      </w:r>
    </w:p>
    <w:p>
      <w:pPr>
        <w:spacing w:after="80" w:line="290" w:lineRule="auto"/>
        <w:ind w:left="369" w:hanging="255"/>
      </w:pPr>
      <w:r>
        <w:rPr>
          <w:rFonts w:ascii="Calibri" w:hAnsi="Calibri"/>
          <w:b/>
          <w:color w:val="007E69"/>
          <w:sz w:val="22"/>
        </w:rPr>
        <w:t xml:space="preserve">•  </w:t>
      </w:r>
      <w:r>
        <w:rPr>
          <w:rFonts w:ascii="Calibri" w:hAnsi="Calibri"/>
          <w:color w:val="173B4D"/>
          <w:sz w:val="22"/>
        </w:rPr>
        <w:t>4. La travesía ciudadana de Graus</w:t>
      </w:r>
    </w:p>
    <w:p>
      <w:pPr>
        <w:spacing w:after="80" w:line="290" w:lineRule="auto"/>
        <w:ind w:left="369" w:hanging="255"/>
      </w:pPr>
      <w:r>
        <w:rPr>
          <w:rFonts w:ascii="Calibri" w:hAnsi="Calibri"/>
          <w:b/>
          <w:color w:val="007E69"/>
          <w:sz w:val="22"/>
        </w:rPr>
        <w:t xml:space="preserve">•  </w:t>
      </w:r>
      <w:r>
        <w:rPr>
          <w:rFonts w:ascii="Calibri" w:hAnsi="Calibri"/>
          <w:color w:val="173B4D"/>
          <w:sz w:val="22"/>
        </w:rPr>
        <w:t>5. Evidencias, fuentes y estado de los estudios</w:t>
      </w:r>
    </w:p>
    <w:p>
      <w:pPr>
        <w:spacing w:after="80" w:line="290" w:lineRule="auto"/>
        <w:ind w:left="369" w:hanging="255"/>
      </w:pPr>
      <w:r>
        <w:rPr>
          <w:rFonts w:ascii="Calibri" w:hAnsi="Calibri"/>
          <w:b/>
          <w:color w:val="007E69"/>
          <w:sz w:val="22"/>
        </w:rPr>
        <w:t xml:space="preserve">•  </w:t>
      </w:r>
      <w:r>
        <w:rPr>
          <w:rFonts w:ascii="Calibri" w:hAnsi="Calibri"/>
          <w:color w:val="173B4D"/>
          <w:sz w:val="22"/>
        </w:rPr>
        <w:t>6. Gobierno documental y control de calidad</w:t>
      </w:r>
    </w:p>
    <w:p>
      <w:pPr>
        <w:spacing w:after="80" w:line="290" w:lineRule="auto"/>
        <w:ind w:left="369" w:hanging="255"/>
      </w:pPr>
      <w:r>
        <w:rPr>
          <w:rFonts w:ascii="Calibri" w:hAnsi="Calibri"/>
          <w:b/>
          <w:color w:val="007E69"/>
          <w:sz w:val="22"/>
        </w:rPr>
        <w:t xml:space="preserve">•  </w:t>
      </w:r>
      <w:r>
        <w:rPr>
          <w:rFonts w:ascii="Calibri" w:hAnsi="Calibri"/>
          <w:color w:val="173B4D"/>
          <w:sz w:val="22"/>
        </w:rPr>
        <w:t>7. Registro inicial de decisiones, hipótesis y preguntas</w:t>
      </w:r>
    </w:p>
    <w:p>
      <w:pPr>
        <w:spacing w:after="80" w:line="290" w:lineRule="auto"/>
        <w:ind w:left="369" w:hanging="255"/>
      </w:pPr>
      <w:r>
        <w:rPr>
          <w:rFonts w:ascii="Calibri" w:hAnsi="Calibri"/>
          <w:b/>
          <w:color w:val="007E69"/>
          <w:sz w:val="22"/>
        </w:rPr>
        <w:t xml:space="preserve">•  </w:t>
      </w:r>
      <w:r>
        <w:rPr>
          <w:rFonts w:ascii="Calibri" w:hAnsi="Calibri"/>
          <w:color w:val="173B4D"/>
          <w:sz w:val="22"/>
        </w:rPr>
        <w:t>8. Hoja de ruta para la fase siguiente</w:t>
      </w:r>
    </w:p>
    <w:p>
      <w:pPr>
        <w:spacing w:after="80" w:line="290" w:lineRule="auto"/>
        <w:ind w:left="369" w:hanging="255"/>
      </w:pPr>
      <w:r>
        <w:rPr>
          <w:rFonts w:ascii="Calibri" w:hAnsi="Calibri"/>
          <w:b/>
          <w:color w:val="007E69"/>
          <w:sz w:val="22"/>
        </w:rPr>
        <w:t xml:space="preserve">•  </w:t>
      </w:r>
      <w:r>
        <w:rPr>
          <w:rFonts w:ascii="Calibri" w:hAnsi="Calibri"/>
          <w:color w:val="173B4D"/>
          <w:sz w:val="22"/>
        </w:rPr>
        <w:t>Anexo A. Control ejecutivo de regresión y trazabilidad v1.1</w:t>
      </w:r>
    </w:p>
    <w:p>
      <w:pPr>
        <w:pStyle w:val="Heading1"/>
      </w:pPr>
      <w:r>
        <w:rPr>
          <w:rFonts w:ascii="Calibri" w:hAnsi="Calibri"/>
        </w:rPr>
        <w:t>1. Visión y propósito territorial</w:t>
      </w:r>
    </w:p>
    <w:p>
      <w:r>
        <w:rPr>
          <w:rFonts w:ascii="Calibri" w:hAnsi="Calibri"/>
        </w:rPr>
        <w:t>Proyecto Ésera 2050 parte de una idea sencilla: la movilidad interurbana y la calidad de vida urbana de Graus deben resolverse como una misma decisión territorial. La variante no se plantea como una carretera aislada, sino como una oportunidad para separar el tráfico de paso de la vida cotidiana y reforzar el papel de Graus dentro de la Ribagorza.</w:t>
      </w: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VISIÓN DE PROYECTO</w:t>
            </w:r>
          </w:p>
          <w:p>
            <w:pPr>
              <w:spacing w:after="0" w:line="283" w:lineRule="auto"/>
            </w:pPr>
            <w:r>
              <w:rPr>
                <w:rFonts w:ascii="Calibri" w:hAnsi="Calibri"/>
                <w:color w:val="173B4D"/>
                <w:sz w:val="20"/>
              </w:rPr>
              <w:t>Mejorar cómo se llega, cómo se atraviesa y cómo se vive Graus, fortaleciendo al mismo tiempo la cohesión, la actividad y las oportunidades del valle del Ésera.</w:t>
            </w:r>
          </w:p>
        </w:tc>
      </w:tr>
    </w:tbl>
    <w:p>
      <w:pPr>
        <w:spacing w:after="20"/>
      </w:pPr>
    </w:p>
    <w:p>
      <w:pPr>
        <w:pStyle w:val="Heading2"/>
      </w:pPr>
      <w:r>
        <w:rPr>
          <w:rFonts w:ascii="Calibri" w:hAnsi="Calibri"/>
        </w:rPr>
        <w:t>1.1 Objetivos de largo plazo</w:t>
      </w:r>
    </w:p>
    <w:p>
      <w:pPr>
        <w:spacing w:after="80" w:line="290" w:lineRule="auto"/>
        <w:ind w:left="369" w:hanging="255"/>
      </w:pPr>
      <w:r>
        <w:rPr>
          <w:rFonts w:ascii="Calibri" w:hAnsi="Calibri"/>
          <w:b/>
          <w:color w:val="007E69"/>
          <w:sz w:val="22"/>
        </w:rPr>
        <w:t xml:space="preserve">•  </w:t>
      </w:r>
      <w:r>
        <w:rPr>
          <w:rFonts w:ascii="Calibri" w:hAnsi="Calibri"/>
          <w:color w:val="173B4D"/>
          <w:sz w:val="22"/>
        </w:rPr>
        <w:t>Mejorar la seguridad, fiabilidad y continuidad del corredor Barbastro–Graus–Benasque, compatible con residentes, visitantes, mercancías, transporte público y emergencias.</w:t>
      </w:r>
    </w:p>
    <w:p>
      <w:pPr>
        <w:spacing w:after="80" w:line="290" w:lineRule="auto"/>
        <w:ind w:left="369" w:hanging="255"/>
      </w:pPr>
      <w:r>
        <w:rPr>
          <w:rFonts w:ascii="Calibri" w:hAnsi="Calibri"/>
          <w:b/>
          <w:color w:val="007E69"/>
          <w:sz w:val="22"/>
        </w:rPr>
        <w:t xml:space="preserve">•  </w:t>
      </w:r>
      <w:r>
        <w:rPr>
          <w:rFonts w:ascii="Calibri" w:hAnsi="Calibri"/>
          <w:color w:val="173B4D"/>
          <w:sz w:val="22"/>
        </w:rPr>
        <w:t>Reforzar Graus como capital funcional de la Ribagorza: centro de servicios, comercio, administración y relación comarcal.</w:t>
      </w:r>
    </w:p>
    <w:p>
      <w:pPr>
        <w:spacing w:after="80" w:line="290" w:lineRule="auto"/>
        <w:ind w:left="369" w:hanging="255"/>
      </w:pPr>
      <w:r>
        <w:rPr>
          <w:rFonts w:ascii="Calibri" w:hAnsi="Calibri"/>
          <w:b/>
          <w:color w:val="007E69"/>
          <w:sz w:val="22"/>
        </w:rPr>
        <w:t xml:space="preserve">•  </w:t>
      </w:r>
      <w:r>
        <w:rPr>
          <w:rFonts w:ascii="Calibri" w:hAnsi="Calibri"/>
          <w:color w:val="173B4D"/>
          <w:sz w:val="22"/>
        </w:rPr>
        <w:t>Reducir la presencia del tráfico de paso y pesado en la travesía para recuperar un espacio más caminable, verde, accesible y favorable al comercio local.</w:t>
      </w:r>
    </w:p>
    <w:p>
      <w:pPr>
        <w:spacing w:after="80" w:line="290" w:lineRule="auto"/>
        <w:ind w:left="369" w:hanging="255"/>
      </w:pPr>
      <w:r>
        <w:rPr>
          <w:rFonts w:ascii="Calibri" w:hAnsi="Calibri"/>
          <w:b/>
          <w:color w:val="007E69"/>
          <w:sz w:val="22"/>
        </w:rPr>
        <w:t xml:space="preserve">•  </w:t>
      </w:r>
      <w:r>
        <w:rPr>
          <w:rFonts w:ascii="Calibri" w:hAnsi="Calibri"/>
          <w:color w:val="173B4D"/>
          <w:sz w:val="22"/>
        </w:rPr>
        <w:t>Preparar el territorio ante cambios demográficos, climáticos, turísticos, logísticos y tecnológicos, sin convertir escenarios no confirmados en hechos.</w:t>
      </w:r>
    </w:p>
    <w:p>
      <w:pPr>
        <w:pStyle w:val="Heading2"/>
      </w:pPr>
      <w:r>
        <w:rPr>
          <w:rFonts w:ascii="Calibri" w:hAnsi="Calibri"/>
        </w:rPr>
        <w:t>1.2 Tesis territorial</w:t>
      </w:r>
    </w:p>
    <w:p>
      <w:r>
        <w:rPr>
          <w:rFonts w:ascii="Calibri" w:hAnsi="Calibri"/>
        </w:rPr>
        <w:t>El corredor exterior y la ciudad habitable son dos piezas inseparables. La infraestructura debe proteger los ritmos de la población y, a la vez, mantener conexiones regionales seguras. El éxito no se medirá solo en kilómetros o velocidad, sino en accesibilidad, seguridad, menor impacto, actividad local y capacidad de adaptación.</w:t>
      </w:r>
    </w:p>
    <w:p>
      <w:pPr>
        <w:pStyle w:val="Heading1"/>
      </w:pPr>
      <w:r>
        <w:rPr>
          <w:rFonts w:ascii="Calibri" w:hAnsi="Calibri"/>
        </w:rPr>
        <w:t>2. Alcance, límites y principios</w:t>
      </w:r>
    </w:p>
    <w:p>
      <w:r>
        <w:rPr>
          <w:rFonts w:ascii="Calibri" w:hAnsi="Calibri"/>
        </w:rPr>
        <w:t>La fase actual es conceptual y comparativa. Define corredores, puntos de conexión, criterios y necesidades de estudio; no define un proyecto constructivo, una traza definitiva, rasantes, obras de fábrica, presupuesto contractual, expropiaciones ni decisiones administrativas.</w:t>
      </w:r>
    </w:p>
    <w:p>
      <w:pPr>
        <w:pStyle w:val="Heading2"/>
      </w:pPr>
      <w:r>
        <w:rPr>
          <w:rFonts w:ascii="Calibri" w:hAnsi="Calibri"/>
        </w:rPr>
        <w:t>2.1 Principios de trabajo</w:t>
      </w:r>
    </w:p>
    <w:p>
      <w:pPr>
        <w:spacing w:after="80" w:line="290" w:lineRule="auto"/>
        <w:ind w:left="369" w:hanging="255"/>
      </w:pPr>
      <w:r>
        <w:rPr>
          <w:rFonts w:ascii="Calibri" w:hAnsi="Calibri"/>
          <w:b/>
          <w:color w:val="007E69"/>
          <w:sz w:val="22"/>
        </w:rPr>
        <w:t xml:space="preserve">•  </w:t>
      </w:r>
      <w:r>
        <w:rPr>
          <w:rFonts w:ascii="Calibri" w:hAnsi="Calibri"/>
          <w:color w:val="173B4D"/>
          <w:sz w:val="22"/>
        </w:rPr>
        <w:t>Territorio antes que geometría: la traza se adapta a los usos, el relieve, el paisaje, el agua y la vida cotidiana.</w:t>
      </w:r>
    </w:p>
    <w:p>
      <w:pPr>
        <w:spacing w:after="80" w:line="290" w:lineRule="auto"/>
        <w:ind w:left="369" w:hanging="255"/>
      </w:pPr>
      <w:r>
        <w:rPr>
          <w:rFonts w:ascii="Calibri" w:hAnsi="Calibri"/>
          <w:b/>
          <w:color w:val="007E69"/>
          <w:sz w:val="22"/>
        </w:rPr>
        <w:t xml:space="preserve">•  </w:t>
      </w:r>
      <w:r>
        <w:rPr>
          <w:rFonts w:ascii="Calibri" w:hAnsi="Calibri"/>
          <w:color w:val="173B4D"/>
          <w:sz w:val="22"/>
        </w:rPr>
        <w:t>Personas antes que vehículos: la reducción del tráfico de paso se traduce en una travesía más segura y utilizable.</w:t>
      </w:r>
    </w:p>
    <w:p>
      <w:pPr>
        <w:spacing w:after="80" w:line="290" w:lineRule="auto"/>
        <w:ind w:left="369" w:hanging="255"/>
      </w:pPr>
      <w:r>
        <w:rPr>
          <w:rFonts w:ascii="Calibri" w:hAnsi="Calibri"/>
          <w:b/>
          <w:color w:val="007E69"/>
          <w:sz w:val="22"/>
        </w:rPr>
        <w:t xml:space="preserve">•  </w:t>
      </w:r>
      <w:r>
        <w:rPr>
          <w:rFonts w:ascii="Calibri" w:hAnsi="Calibri"/>
          <w:color w:val="173B4D"/>
          <w:sz w:val="22"/>
        </w:rPr>
        <w:t>Trazabilidad total: cada fuente, imagen, cálculo, visita y criterio conserva identificación, versión y responsable de revisión.</w:t>
      </w:r>
    </w:p>
    <w:p>
      <w:pPr>
        <w:spacing w:after="80" w:line="290" w:lineRule="auto"/>
        <w:ind w:left="369" w:hanging="255"/>
      </w:pPr>
      <w:r>
        <w:rPr>
          <w:rFonts w:ascii="Calibri" w:hAnsi="Calibri"/>
          <w:b/>
          <w:color w:val="007E69"/>
          <w:sz w:val="22"/>
        </w:rPr>
        <w:t xml:space="preserve">•  </w:t>
      </w:r>
      <w:r>
        <w:rPr>
          <w:rFonts w:ascii="Calibri" w:hAnsi="Calibri"/>
          <w:color w:val="173B4D"/>
          <w:sz w:val="22"/>
        </w:rPr>
        <w:t>Comparación neutral: las alternativas se someten a los mismos criterios y se documentan tanto sus ventajas como sus condicionantes.</w:t>
      </w:r>
    </w:p>
    <w:p>
      <w:pPr>
        <w:spacing w:after="80" w:line="290" w:lineRule="auto"/>
        <w:ind w:left="369" w:hanging="255"/>
      </w:pPr>
      <w:r>
        <w:rPr>
          <w:rFonts w:ascii="Calibri" w:hAnsi="Calibri"/>
          <w:b/>
          <w:color w:val="007E69"/>
          <w:sz w:val="22"/>
        </w:rPr>
        <w:t xml:space="preserve">•  </w:t>
      </w:r>
      <w:r>
        <w:rPr>
          <w:rFonts w:ascii="Calibri" w:hAnsi="Calibri"/>
          <w:color w:val="173B4D"/>
          <w:sz w:val="22"/>
        </w:rPr>
        <w:t>Prudencia técnica: se distinguen claramente hechos, hipótesis y decisiones; cualquier dato crítico se valida antes de consolidarse.</w:t>
      </w:r>
    </w:p>
    <w:p>
      <w:pPr>
        <w:spacing w:after="80" w:line="290" w:lineRule="auto"/>
        <w:ind w:left="369" w:hanging="255"/>
      </w:pPr>
      <w:r>
        <w:rPr>
          <w:rFonts w:ascii="Calibri" w:hAnsi="Calibri"/>
          <w:b/>
          <w:color w:val="007E69"/>
          <w:sz w:val="22"/>
        </w:rPr>
        <w:t xml:space="preserve">•  </w:t>
      </w:r>
      <w:r>
        <w:rPr>
          <w:rFonts w:ascii="Calibri" w:hAnsi="Calibri"/>
          <w:color w:val="173B4D"/>
          <w:sz w:val="22"/>
        </w:rPr>
        <w:t>Respeto patrimonial y ambiental: los valores del entorno no son decorado, sino condicionantes de diseño desde el inicio.</w:t>
      </w:r>
    </w:p>
    <w:p>
      <w:pPr>
        <w:pStyle w:val="Heading2"/>
      </w:pPr>
      <w:r>
        <w:rPr>
          <w:rFonts w:ascii="Calibri" w:hAnsi="Calibri"/>
        </w:rPr>
        <w:t>2.2 Límites expresos de este documento</w:t>
      </w:r>
    </w:p>
    <w:tbl>
      <w:tblPr>
        <w:tblW w:type="auto" w:w="0"/>
        <w:tblLook w:firstColumn="1" w:firstRow="1" w:lastColumn="0" w:lastRow="0" w:noHBand="0" w:noVBand="1" w:val="04A0"/>
        <w:jc w:val="center"/>
        <w:tblLayout w:type="fixed"/>
      </w:tblPr>
      <w:tblGrid>
        <w:gridCol w:w="4818"/>
        <w:gridCol w:w="4818"/>
      </w:tblGrid>
      <w:tr>
        <w:trPr>
          <w:tblHeader w:val="true"/>
        </w:trPr>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Sí incluye</w:t>
            </w:r>
          </w:p>
        </w:tc>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No incluye todavía</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Estrategia territorial, alternativas, criterios, gobernanza y plan de estudios.</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Proyecto de construcción, legalización, expropiaciones o calendario de obra.</w:t>
            </w:r>
          </w:p>
        </w:tc>
      </w:tr>
      <w:tr>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Rangos económicos conceptuales y condiciones que explican su incertidumbre.</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Presupuesto de licitación, precios contractuales o compromiso de financiación.</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Visualizaciones como herramientas de comprensión y debate.</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Acreditación de geometría final ni sustitución de trabajo topográfico.</w:t>
            </w:r>
          </w:p>
        </w:tc>
      </w:tr>
    </w:tbl>
    <w:p>
      <w:pPr>
        <w:spacing w:after="40"/>
      </w:pPr>
    </w:p>
    <w:p>
      <w:pPr>
        <w:pStyle w:val="Heading1"/>
      </w:pPr>
      <w:r>
        <w:rPr>
          <w:rFonts w:ascii="Calibri" w:hAnsi="Calibri"/>
        </w:rPr>
        <w:t>3. Alternativas de corredor: Oeste y Este</w:t>
      </w:r>
    </w:p>
    <w:p>
      <w:r>
        <w:rPr>
          <w:rFonts w:ascii="Calibri" w:hAnsi="Calibri"/>
        </w:rPr>
        <w:t>Las dos alternativas responden al mismo objetivo de retirar el tráfico de paso de la travesía, pero presentan lógicas territoriales y condicionantes diferentes. La decisión no debe anticiparse: se construirá con información comparable, incluyendo coste, impacto, funcionalidad, paisaje, agua, patrimonio, expropiaciones, construcción y operación.</w:t>
      </w:r>
    </w:p>
    <w:p>
      <w:pPr>
        <w:pStyle w:val="Heading2"/>
      </w:pPr>
      <w:r>
        <w:rPr>
          <w:rFonts w:ascii="Calibri" w:hAnsi="Calibri"/>
        </w:rPr>
        <w:t>3.1 Alternativa Oeste: corredor exterior con solución subterránea</w:t>
      </w:r>
    </w:p>
    <w:p>
      <w:r>
        <w:rPr>
          <w:rFonts w:ascii="Calibri" w:hAnsi="Calibri"/>
        </w:rPr>
        <w:t>La alternativa Oeste se orienta hacia el exterior del núcleo, evitando aproximarse al tejido residencial. Desde la conexión sur se dirige hacia el ámbito de Recereza, discurre al oeste de Peña del Morral y gira progresivamente para alcanzar la conexión norte. La solución se apoya de forma dominante en un túnel, reduciendo la ocupación superficial y la exposición directa del entorno habitado.</w:t>
      </w:r>
    </w:p>
    <w:tbl>
      <w:tblPr>
        <w:tblW w:type="auto" w:w="0"/>
        <w:tblLook w:firstColumn="1" w:firstRow="1" w:lastColumn="0" w:lastRow="0" w:noHBand="0" w:noVBand="1" w:val="04A0"/>
        <w:jc w:val="center"/>
        <w:tblLayout w:type="fixed"/>
      </w:tblPr>
      <w:tblGrid>
        <w:gridCol w:w="2267"/>
        <w:gridCol w:w="3628"/>
        <w:gridCol w:w="3741"/>
      </w:tblGrid>
      <w:tr>
        <w:trPr>
          <w:tblHeader w:val="true"/>
        </w:trPr>
        <w:tc>
          <w:tcPr>
            <w:tcW w:type="dxa" w:w="2267"/>
            <w:shd w:fill="123E4C"/>
            <w:tcMar>
              <w:top w:w="90" w:type="dxa"/>
              <w:start w:w="120" w:type="dxa"/>
              <w:bottom w:w="90" w:type="dxa"/>
              <w:end w:w="120" w:type="dxa"/>
            </w:tcMar>
            <w:vAlign w:val="center"/>
          </w:tcPr>
          <w:p>
            <w:pPr>
              <w:spacing w:after="0"/>
            </w:pPr>
            <w:r>
              <w:rPr>
                <w:rFonts w:ascii="Calibri" w:hAnsi="Calibri"/>
                <w:b/>
                <w:color w:val="FFFFFF"/>
                <w:sz w:val="17"/>
              </w:rPr>
              <w:t>Parámetro vigente</w:t>
            </w:r>
          </w:p>
        </w:tc>
        <w:tc>
          <w:tcPr>
            <w:tcW w:type="dxa" w:w="3628"/>
            <w:shd w:fill="123E4C"/>
            <w:tcMar>
              <w:top w:w="90" w:type="dxa"/>
              <w:start w:w="120" w:type="dxa"/>
              <w:bottom w:w="90" w:type="dxa"/>
              <w:end w:w="120" w:type="dxa"/>
            </w:tcMar>
            <w:vAlign w:val="center"/>
          </w:tcPr>
          <w:p>
            <w:pPr>
              <w:spacing w:after="0"/>
            </w:pPr>
            <w:r>
              <w:rPr>
                <w:rFonts w:ascii="Calibri" w:hAnsi="Calibri"/>
                <w:b/>
                <w:color w:val="FFFFFF"/>
                <w:sz w:val="17"/>
              </w:rPr>
              <w:t>Solución Oeste</w:t>
            </w:r>
          </w:p>
        </w:tc>
        <w:tc>
          <w:tcPr>
            <w:tcW w:type="dxa" w:w="3741"/>
            <w:shd w:fill="123E4C"/>
            <w:tcMar>
              <w:top w:w="90" w:type="dxa"/>
              <w:start w:w="120" w:type="dxa"/>
              <w:bottom w:w="90" w:type="dxa"/>
              <w:end w:w="120" w:type="dxa"/>
            </w:tcMar>
            <w:vAlign w:val="center"/>
          </w:tcPr>
          <w:p>
            <w:pPr>
              <w:spacing w:after="0"/>
            </w:pPr>
            <w:r>
              <w:rPr>
                <w:rFonts w:ascii="Calibri" w:hAnsi="Calibri"/>
                <w:b/>
                <w:color w:val="FFFFFF"/>
                <w:sz w:val="17"/>
              </w:rPr>
              <w:t>Estado / cautela</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Longitud total con conexiones</w:t>
            </w:r>
          </w:p>
        </w:tc>
        <w:tc>
          <w:tcPr>
            <w:tcW w:type="dxa" w:w="3628"/>
            <w:tcMar>
              <w:top w:w="90" w:type="dxa"/>
              <w:start w:w="120" w:type="dxa"/>
              <w:bottom w:w="90" w:type="dxa"/>
              <w:end w:w="120" w:type="dxa"/>
            </w:tcMar>
            <w:vAlign w:val="top"/>
          </w:tcPr>
          <w:p>
            <w:pPr>
              <w:spacing w:after="40" w:line="264" w:lineRule="auto"/>
            </w:pPr>
            <w:r>
              <w:rPr>
                <w:rFonts w:ascii="Calibri" w:hAnsi="Calibri"/>
                <w:color w:val="173B4D"/>
                <w:sz w:val="17"/>
              </w:rPr>
              <w:t>≈ 4,59 km</w:t>
            </w:r>
          </w:p>
        </w:tc>
        <w:tc>
          <w:tcPr>
            <w:tcW w:type="dxa" w:w="3741"/>
            <w:tcMar>
              <w:top w:w="90" w:type="dxa"/>
              <w:start w:w="120" w:type="dxa"/>
              <w:bottom w:w="90" w:type="dxa"/>
              <w:end w:w="120" w:type="dxa"/>
            </w:tcMar>
            <w:vAlign w:val="top"/>
          </w:tcPr>
          <w:p>
            <w:pPr>
              <w:spacing w:after="40" w:line="264" w:lineRule="auto"/>
            </w:pPr>
            <w:r>
              <w:rPr>
                <w:rFonts w:ascii="Calibri" w:hAnsi="Calibri"/>
                <w:color w:val="173B4D"/>
                <w:sz w:val="17"/>
              </w:rPr>
              <w:t>CMP-010: 4,5912 km; CMP-011 y PI-001: ≈ 4,59 km. Incluye ≈ 3,39 km de túnel en mina.</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Obras principales</w:t>
            </w:r>
          </w:p>
        </w:tc>
        <w:tc>
          <w:tcPr>
            <w:tcW w:type="dxa" w:w="3628"/>
            <w:tcMar>
              <w:top w:w="90" w:type="dxa"/>
              <w:start w:w="120" w:type="dxa"/>
              <w:bottom w:w="90" w:type="dxa"/>
              <w:end w:w="120" w:type="dxa"/>
            </w:tcMar>
            <w:vAlign w:val="top"/>
            <w:shd w:fill="F7FAF9"/>
          </w:tcPr>
          <w:p>
            <w:pPr>
              <w:spacing w:after="40" w:line="264" w:lineRule="auto"/>
            </w:pPr>
            <w:r>
              <w:rPr>
                <w:rFonts w:ascii="Calibri" w:hAnsi="Calibri"/>
                <w:color w:val="173B4D"/>
                <w:sz w:val="17"/>
              </w:rPr>
              <w:t>Túnel bidireccional, galería paralela, portales, conexiones y dos rotondas</w:t>
            </w:r>
          </w:p>
        </w:tc>
        <w:tc>
          <w:tcPr>
            <w:tcW w:type="dxa" w:w="3741"/>
            <w:tcMar>
              <w:top w:w="90" w:type="dxa"/>
              <w:start w:w="120" w:type="dxa"/>
              <w:bottom w:w="90" w:type="dxa"/>
              <w:end w:w="120" w:type="dxa"/>
            </w:tcMar>
            <w:vAlign w:val="top"/>
            <w:shd w:fill="F7FAF9"/>
          </w:tcPr>
          <w:p>
            <w:pPr>
              <w:spacing w:after="40" w:line="264" w:lineRule="auto"/>
            </w:pPr>
            <w:r>
              <w:rPr>
                <w:rFonts w:ascii="Calibri" w:hAnsi="Calibri"/>
                <w:color w:val="173B4D"/>
                <w:sz w:val="17"/>
              </w:rPr>
              <w:t>Configuración conceptual; pendiente de anteproyecto.</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Pendiente máxima conceptual</w:t>
            </w:r>
          </w:p>
        </w:tc>
        <w:tc>
          <w:tcPr>
            <w:tcW w:type="dxa" w:w="3628"/>
            <w:tcMar>
              <w:top w:w="90" w:type="dxa"/>
              <w:start w:w="120" w:type="dxa"/>
              <w:bottom w:w="90" w:type="dxa"/>
              <w:end w:w="120" w:type="dxa"/>
            </w:tcMar>
            <w:vAlign w:val="top"/>
          </w:tcPr>
          <w:p>
            <w:pPr>
              <w:spacing w:after="40" w:line="264" w:lineRule="auto"/>
            </w:pPr>
            <w:r>
              <w:rPr>
                <w:rFonts w:ascii="Calibri" w:hAnsi="Calibri"/>
                <w:color w:val="173B4D"/>
                <w:sz w:val="17"/>
              </w:rPr>
              <w:t>≈ 0,54 %</w:t>
            </w:r>
          </w:p>
        </w:tc>
        <w:tc>
          <w:tcPr>
            <w:tcW w:type="dxa" w:w="3741"/>
            <w:tcMar>
              <w:top w:w="90" w:type="dxa"/>
              <w:start w:w="120" w:type="dxa"/>
              <w:bottom w:w="90" w:type="dxa"/>
              <w:end w:w="120" w:type="dxa"/>
            </w:tcMar>
            <w:vAlign w:val="top"/>
          </w:tcPr>
          <w:p>
            <w:pPr>
              <w:spacing w:after="40" w:line="264" w:lineRule="auto"/>
            </w:pPr>
            <w:r>
              <w:rPr>
                <w:rFonts w:ascii="Calibri" w:hAnsi="Calibri"/>
                <w:color w:val="173B4D"/>
                <w:sz w:val="17"/>
              </w:rPr>
              <w:t>CMP-010: 0,54118 %; CMP-011 y PI-001: ≈ 0,54 %. Exige validación geotécnica e hidráulica.</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Banda económica con IVA</w:t>
            </w:r>
          </w:p>
        </w:tc>
        <w:tc>
          <w:tcPr>
            <w:tcW w:type="dxa" w:w="3628"/>
            <w:tcMar>
              <w:top w:w="90" w:type="dxa"/>
              <w:start w:w="120" w:type="dxa"/>
              <w:bottom w:w="90" w:type="dxa"/>
              <w:end w:w="120" w:type="dxa"/>
            </w:tcMar>
            <w:vAlign w:val="top"/>
            <w:shd w:fill="F7FAF9"/>
          </w:tcPr>
          <w:p>
            <w:pPr>
              <w:spacing w:after="40" w:line="264" w:lineRule="auto"/>
            </w:pPr>
            <w:r>
              <w:rPr>
                <w:rFonts w:ascii="Calibri" w:hAnsi="Calibri"/>
                <w:color w:val="173B4D"/>
                <w:sz w:val="17"/>
              </w:rPr>
              <w:t>172,5 / 264,0 / 412,9 M€</w:t>
            </w:r>
          </w:p>
        </w:tc>
        <w:tc>
          <w:tcPr>
            <w:tcW w:type="dxa" w:w="3741"/>
            <w:tcMar>
              <w:top w:w="90" w:type="dxa"/>
              <w:start w:w="120" w:type="dxa"/>
              <w:bottom w:w="90" w:type="dxa"/>
              <w:end w:w="120" w:type="dxa"/>
            </w:tcMar>
            <w:vAlign w:val="top"/>
            <w:shd w:fill="F7FAF9"/>
          </w:tcPr>
          <w:p>
            <w:pPr>
              <w:spacing w:after="40" w:line="264" w:lineRule="auto"/>
            </w:pPr>
            <w:r>
              <w:rPr>
                <w:rFonts w:ascii="Calibri" w:hAnsi="Calibri"/>
                <w:color w:val="173B4D"/>
                <w:sz w:val="17"/>
              </w:rPr>
              <w:t>CMP-010: 172,476 / 264,019 / 412,945 M€; CMP-011 redondea a la banda indicada; PI-001 comunica 173 / 264 / 413 M€. No son ofertas ni presupuesto de licitación.</w:t>
            </w:r>
          </w:p>
        </w:tc>
      </w:tr>
    </w:tbl>
    <w:p>
      <w:pPr>
        <w:spacing w:after="40"/>
      </w:pPr>
    </w:p>
    <w:tbl>
      <w:tblPr>
        <w:tblW w:type="auto" w:w="0"/>
        <w:tblLook w:firstColumn="1" w:firstRow="1" w:lastColumn="0" w:lastRow="0" w:noHBand="0" w:noVBand="1" w:val="04A0"/>
        <w:jc w:val="center"/>
        <w:tblLayout w:type="fixed"/>
      </w:tblPr>
      <w:tblGrid>
        <w:gridCol w:w="4818"/>
        <w:gridCol w:w="4818"/>
      </w:tblGrid>
      <w:tr>
        <w:trPr>
          <w:tblHeader w:val="true"/>
        </w:trPr>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Aporta</w:t>
            </w:r>
          </w:p>
        </w:tc>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Exige confirmar</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Menor proximidad a zonas habitadas y mayor capacidad de liberar la travesía de tráfico de paso.</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Geología, hidrogeología, ventilación, seguridad, drenaje, emergencias y configuración de túnel.</w:t>
            </w:r>
          </w:p>
        </w:tc>
      </w:tr>
      <w:tr>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Menor afección superficial y potencial reducción de expropiaciones por el predominio subterráneo.</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Portales, instalaciones auxiliares, gestión de tierras y compatibilidad ambiental/paisajística.</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Posibilidad de organizar obra por frentes de trabajo diferenciados en conexiones y portales.</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Coste de inversión, plazo, riesgos de obra y coste de operación/mantenimiento.</w:t>
            </w:r>
          </w:p>
        </w:tc>
      </w:tr>
    </w:tbl>
    <w:p>
      <w:pPr>
        <w:spacing w:after="40"/>
      </w:pP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LECTURA ECONÓMICA PRELIMINAR</w:t>
            </w:r>
          </w:p>
          <w:p>
            <w:pPr>
              <w:spacing w:after="0" w:line="283" w:lineRule="auto"/>
            </w:pPr>
            <w:r>
              <w:rPr>
                <w:rFonts w:ascii="Calibri" w:hAnsi="Calibri"/>
                <w:color w:val="173B4D"/>
                <w:sz w:val="20"/>
              </w:rPr>
              <w:t>La banda conceptual vigente de la alternativa Oeste es 172,5 M€ (favorable), 264,0 M€ (probable) y 412,9 M€ (adverso), con IVA y contingencias de fase conceptual. Son órdenes de magnitud de trabajo, no un presupuesto de obra; la geotecnia e hidrogeología del macizo son el principal factor de desplazamiento.</w:t>
            </w:r>
          </w:p>
        </w:tc>
      </w:tr>
    </w:tbl>
    <w:p>
      <w:pPr>
        <w:spacing w:after="20"/>
      </w:pPr>
    </w:p>
    <w:p>
      <w:pPr>
        <w:pStyle w:val="Heading2"/>
      </w:pPr>
      <w:r>
        <w:rPr>
          <w:rFonts w:ascii="Calibri" w:hAnsi="Calibri"/>
        </w:rPr>
        <w:t>3.2 Alternativa Este: corredor exterior con cruce estructural</w:t>
      </w:r>
    </w:p>
    <w:p>
      <w:r>
        <w:rPr>
          <w:rFonts w:ascii="Calibri" w:hAnsi="Calibri"/>
        </w:rPr>
        <w:t>La alternativa Este vigente es el corredor oriental E6b entre Graus Sur y Graus Este, con conexión hacia la A-2612, dos rotondas y un cruce estructural del Ésera. Se trata de un eje conceptual único de comparación frente a la Solución Oeste; su geometría, puente, apoyos, rasante y ocupaciones requerirán anteproyecto homogéneo.</w:t>
      </w:r>
    </w:p>
    <w:tbl>
      <w:tblPr>
        <w:tblW w:type="auto" w:w="0"/>
        <w:tblLook w:firstColumn="1" w:firstRow="1" w:lastColumn="0" w:lastRow="0" w:noHBand="0" w:noVBand="1" w:val="04A0"/>
        <w:jc w:val="center"/>
        <w:tblLayout w:type="fixed"/>
      </w:tblPr>
      <w:tblGrid>
        <w:gridCol w:w="2267"/>
        <w:gridCol w:w="3628"/>
        <w:gridCol w:w="3741"/>
      </w:tblGrid>
      <w:tr>
        <w:trPr>
          <w:tblHeader w:val="true"/>
        </w:trPr>
        <w:tc>
          <w:tcPr>
            <w:tcW w:type="dxa" w:w="2267"/>
            <w:shd w:fill="123E4C"/>
            <w:tcMar>
              <w:top w:w="90" w:type="dxa"/>
              <w:start w:w="120" w:type="dxa"/>
              <w:bottom w:w="90" w:type="dxa"/>
              <w:end w:w="120" w:type="dxa"/>
            </w:tcMar>
            <w:vAlign w:val="center"/>
          </w:tcPr>
          <w:p>
            <w:pPr>
              <w:spacing w:after="0"/>
            </w:pPr>
            <w:r>
              <w:rPr>
                <w:rFonts w:ascii="Calibri" w:hAnsi="Calibri"/>
                <w:b/>
                <w:color w:val="FFFFFF"/>
                <w:sz w:val="17"/>
              </w:rPr>
              <w:t>Parámetro vigente</w:t>
            </w:r>
          </w:p>
        </w:tc>
        <w:tc>
          <w:tcPr>
            <w:tcW w:type="dxa" w:w="3628"/>
            <w:shd w:fill="123E4C"/>
            <w:tcMar>
              <w:top w:w="90" w:type="dxa"/>
              <w:start w:w="120" w:type="dxa"/>
              <w:bottom w:w="90" w:type="dxa"/>
              <w:end w:w="120" w:type="dxa"/>
            </w:tcMar>
            <w:vAlign w:val="center"/>
          </w:tcPr>
          <w:p>
            <w:pPr>
              <w:spacing w:after="0"/>
            </w:pPr>
            <w:r>
              <w:rPr>
                <w:rFonts w:ascii="Calibri" w:hAnsi="Calibri"/>
                <w:b/>
                <w:color w:val="FFFFFF"/>
                <w:sz w:val="17"/>
              </w:rPr>
              <w:t>Solución Este</w:t>
            </w:r>
          </w:p>
        </w:tc>
        <w:tc>
          <w:tcPr>
            <w:tcW w:type="dxa" w:w="3741"/>
            <w:shd w:fill="123E4C"/>
            <w:tcMar>
              <w:top w:w="90" w:type="dxa"/>
              <w:start w:w="120" w:type="dxa"/>
              <w:bottom w:w="90" w:type="dxa"/>
              <w:end w:w="120" w:type="dxa"/>
            </w:tcMar>
            <w:vAlign w:val="center"/>
          </w:tcPr>
          <w:p>
            <w:pPr>
              <w:spacing w:after="0"/>
            </w:pPr>
            <w:r>
              <w:rPr>
                <w:rFonts w:ascii="Calibri" w:hAnsi="Calibri"/>
                <w:b/>
                <w:color w:val="FFFFFF"/>
                <w:sz w:val="17"/>
              </w:rPr>
              <w:t>Estado / cautela</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Longitud de eje provisional</w:t>
            </w:r>
          </w:p>
        </w:tc>
        <w:tc>
          <w:tcPr>
            <w:tcW w:type="dxa" w:w="3628"/>
            <w:tcMar>
              <w:top w:w="90" w:type="dxa"/>
              <w:start w:w="120" w:type="dxa"/>
              <w:bottom w:w="90" w:type="dxa"/>
              <w:end w:w="120" w:type="dxa"/>
            </w:tcMar>
            <w:vAlign w:val="top"/>
          </w:tcPr>
          <w:p>
            <w:pPr>
              <w:spacing w:after="40" w:line="264" w:lineRule="auto"/>
            </w:pPr>
            <w:r>
              <w:rPr>
                <w:rFonts w:ascii="Calibri" w:hAnsi="Calibri"/>
                <w:color w:val="173B4D"/>
                <w:sz w:val="17"/>
              </w:rPr>
              <w:t>≈ 2,74 km</w:t>
            </w:r>
          </w:p>
        </w:tc>
        <w:tc>
          <w:tcPr>
            <w:tcW w:type="dxa" w:w="3741"/>
            <w:tcMar>
              <w:top w:w="90" w:type="dxa"/>
              <w:start w:w="120" w:type="dxa"/>
              <w:bottom w:w="90" w:type="dxa"/>
              <w:end w:w="120" w:type="dxa"/>
            </w:tcMar>
            <w:vAlign w:val="top"/>
          </w:tcPr>
          <w:p>
            <w:pPr>
              <w:spacing w:after="40" w:line="264" w:lineRule="auto"/>
            </w:pPr>
            <w:r>
              <w:rPr>
                <w:rFonts w:ascii="Calibri" w:hAnsi="Calibri"/>
                <w:color w:val="173B4D"/>
                <w:sz w:val="17"/>
              </w:rPr>
              <w:t>CMP-010: 2,7442 km; CMP-011: ≈ 2,74 km; PI-001: 2,744 km. Eje E6b conceptual; pendiente de ajuste geométrico y topográfico.</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Puente / viaducto base</w:t>
            </w:r>
          </w:p>
        </w:tc>
        <w:tc>
          <w:tcPr>
            <w:tcW w:type="dxa" w:w="3628"/>
            <w:tcMar>
              <w:top w:w="90" w:type="dxa"/>
              <w:start w:w="120" w:type="dxa"/>
              <w:bottom w:w="90" w:type="dxa"/>
              <w:end w:w="120" w:type="dxa"/>
            </w:tcMar>
            <w:vAlign w:val="top"/>
            <w:shd w:fill="F7FAF9"/>
          </w:tcPr>
          <w:p>
            <w:pPr>
              <w:spacing w:after="40" w:line="264" w:lineRule="auto"/>
            </w:pPr>
            <w:r>
              <w:rPr>
                <w:rFonts w:ascii="Calibri" w:hAnsi="Calibri"/>
                <w:color w:val="173B4D"/>
                <w:sz w:val="17"/>
              </w:rPr>
              <w:t>650 m</w:t>
            </w:r>
          </w:p>
        </w:tc>
        <w:tc>
          <w:tcPr>
            <w:tcW w:type="dxa" w:w="3741"/>
            <w:tcMar>
              <w:top w:w="90" w:type="dxa"/>
              <w:start w:w="120" w:type="dxa"/>
              <w:bottom w:w="90" w:type="dxa"/>
              <w:end w:w="120" w:type="dxa"/>
            </w:tcMar>
            <w:vAlign w:val="top"/>
            <w:shd w:fill="F7FAF9"/>
          </w:tcPr>
          <w:p>
            <w:pPr>
              <w:spacing w:after="40" w:line="264" w:lineRule="auto"/>
            </w:pPr>
            <w:r>
              <w:rPr>
                <w:rFonts w:ascii="Calibri" w:hAnsi="Calibri"/>
                <w:color w:val="173B4D"/>
                <w:sz w:val="17"/>
              </w:rPr>
              <w:t>Coincide en CMP-010, CMP-011 y PI-001. Hipótesis de estudio; rango económico 450–850 m, condicionado por hidráulica, rasante y cimentación.</w:t>
            </w:r>
          </w:p>
        </w:tc>
      </w:tr>
      <w:tr>
        <w:tc>
          <w:tcPr>
            <w:tcW w:type="dxa" w:w="2267"/>
            <w:tcMar>
              <w:top w:w="90" w:type="dxa"/>
              <w:start w:w="120" w:type="dxa"/>
              <w:bottom w:w="90" w:type="dxa"/>
              <w:end w:w="120" w:type="dxa"/>
            </w:tcMar>
            <w:vAlign w:val="top"/>
          </w:tcPr>
          <w:p>
            <w:pPr>
              <w:spacing w:after="40" w:line="264" w:lineRule="auto"/>
            </w:pPr>
            <w:r>
              <w:rPr>
                <w:rFonts w:ascii="Calibri" w:hAnsi="Calibri"/>
                <w:color w:val="173B4D"/>
                <w:sz w:val="17"/>
              </w:rPr>
              <w:t>Pendiente máxima conceptual</w:t>
            </w:r>
          </w:p>
        </w:tc>
        <w:tc>
          <w:tcPr>
            <w:tcW w:type="dxa" w:w="3628"/>
            <w:tcMar>
              <w:top w:w="90" w:type="dxa"/>
              <w:start w:w="120" w:type="dxa"/>
              <w:bottom w:w="90" w:type="dxa"/>
              <w:end w:w="120" w:type="dxa"/>
            </w:tcMar>
            <w:vAlign w:val="top"/>
          </w:tcPr>
          <w:p>
            <w:pPr>
              <w:spacing w:after="40" w:line="264" w:lineRule="auto"/>
            </w:pPr>
            <w:r>
              <w:rPr>
                <w:rFonts w:ascii="Calibri" w:hAnsi="Calibri"/>
                <w:color w:val="173B4D"/>
                <w:sz w:val="17"/>
              </w:rPr>
              <w:t>≈ 5,33 %</w:t>
            </w:r>
          </w:p>
        </w:tc>
        <w:tc>
          <w:tcPr>
            <w:tcW w:type="dxa" w:w="3741"/>
            <w:tcMar>
              <w:top w:w="90" w:type="dxa"/>
              <w:start w:w="120" w:type="dxa"/>
              <w:bottom w:w="90" w:type="dxa"/>
              <w:end w:w="120" w:type="dxa"/>
            </w:tcMar>
            <w:vAlign w:val="top"/>
          </w:tcPr>
          <w:p>
            <w:pPr>
              <w:spacing w:after="40" w:line="264" w:lineRule="auto"/>
            </w:pPr>
            <w:r>
              <w:rPr>
                <w:rFonts w:ascii="Calibri" w:hAnsi="Calibri"/>
                <w:color w:val="173B4D"/>
                <w:sz w:val="17"/>
              </w:rPr>
              <w:t>CMP-010: 5,333 %; CMP-011 y PI-001: ≈ 5,33 %. Pendiente de optimización y verificación específica para tráfico pesado.</w:t>
            </w:r>
          </w:p>
        </w:tc>
      </w:tr>
      <w:tr>
        <w:tc>
          <w:tcPr>
            <w:tcW w:type="dxa" w:w="2267"/>
            <w:tcMar>
              <w:top w:w="90" w:type="dxa"/>
              <w:start w:w="120" w:type="dxa"/>
              <w:bottom w:w="90" w:type="dxa"/>
              <w:end w:w="120" w:type="dxa"/>
            </w:tcMar>
            <w:vAlign w:val="top"/>
            <w:shd w:fill="F7FAF9"/>
          </w:tcPr>
          <w:p>
            <w:pPr>
              <w:spacing w:after="40" w:line="264" w:lineRule="auto"/>
            </w:pPr>
            <w:r>
              <w:rPr>
                <w:rFonts w:ascii="Calibri" w:hAnsi="Calibri"/>
                <w:color w:val="173B4D"/>
                <w:sz w:val="17"/>
              </w:rPr>
              <w:t>Banda económica con IVA</w:t>
            </w:r>
          </w:p>
        </w:tc>
        <w:tc>
          <w:tcPr>
            <w:tcW w:type="dxa" w:w="3628"/>
            <w:tcMar>
              <w:top w:w="90" w:type="dxa"/>
              <w:start w:w="120" w:type="dxa"/>
              <w:bottom w:w="90" w:type="dxa"/>
              <w:end w:w="120" w:type="dxa"/>
            </w:tcMar>
            <w:vAlign w:val="top"/>
            <w:shd w:fill="F7FAF9"/>
          </w:tcPr>
          <w:p>
            <w:pPr>
              <w:spacing w:after="40" w:line="264" w:lineRule="auto"/>
            </w:pPr>
            <w:r>
              <w:rPr>
                <w:rFonts w:ascii="Calibri" w:hAnsi="Calibri"/>
                <w:color w:val="173B4D"/>
                <w:sz w:val="17"/>
              </w:rPr>
              <w:t>91,3 / 139,5 / 222,5 M€</w:t>
            </w:r>
          </w:p>
        </w:tc>
        <w:tc>
          <w:tcPr>
            <w:tcW w:type="dxa" w:w="3741"/>
            <w:tcMar>
              <w:top w:w="90" w:type="dxa"/>
              <w:start w:w="120" w:type="dxa"/>
              <w:bottom w:w="90" w:type="dxa"/>
              <w:end w:w="120" w:type="dxa"/>
            </w:tcMar>
            <w:vAlign w:val="top"/>
            <w:shd w:fill="F7FAF9"/>
          </w:tcPr>
          <w:p>
            <w:pPr>
              <w:spacing w:after="40" w:line="264" w:lineRule="auto"/>
            </w:pPr>
            <w:r>
              <w:rPr>
                <w:rFonts w:ascii="Calibri" w:hAnsi="Calibri"/>
                <w:color w:val="173B4D"/>
                <w:sz w:val="17"/>
              </w:rPr>
              <w:t>CMP-010: 91,2695 / 139,5207 / 222,4747 M€; CMP-011 redondea a la banda indicada; PI-001 comunica 91 / 140 / 223 M€. Modelo paramétrico, no oferta ni presupuesto de licitación.</w:t>
            </w:r>
          </w:p>
        </w:tc>
      </w:tr>
    </w:tbl>
    <w:p>
      <w:pPr>
        <w:spacing w:after="40"/>
      </w:pPr>
    </w:p>
    <w:tbl>
      <w:tblPr>
        <w:tblW w:type="auto" w:w="0"/>
        <w:tblLook w:firstColumn="1" w:firstRow="1" w:lastColumn="0" w:lastRow="0" w:noHBand="0" w:noVBand="1" w:val="04A0"/>
        <w:jc w:val="center"/>
        <w:tblLayout w:type="fixed"/>
      </w:tblPr>
      <w:tblGrid>
        <w:gridCol w:w="4818"/>
        <w:gridCol w:w="4818"/>
      </w:tblGrid>
      <w:tr>
        <w:trPr>
          <w:tblHeader w:val="true"/>
        </w:trPr>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Aporta</w:t>
            </w:r>
          </w:p>
        </w:tc>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Exige confirmar</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Recorrido más corto y obra abierta convencional, de mantenimiento más accesible.</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Afección a parcelas, paisaje, hidráulica, patrimonio, biodiversidad y conectividad local.</w:t>
            </w:r>
          </w:p>
        </w:tc>
      </w:tr>
      <w:tr>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Elimina el tráfico de paso de la travesía, con una infraestructura superficial de lectura directa.</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Viabilidad de puente, cotas de inundación, accesos, integración paisajística y coste completo.</w:t>
            </w:r>
          </w:p>
        </w:tc>
      </w:tr>
      <w:tr>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Puede reducir dependencia de la obra subterránea, pero no elimina condicionantes complejos.</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Que el ahorro inicial frente al Oeste se mantenga tras incorporar estructuras, medidas correctoras y reposiciones.</w:t>
            </w:r>
          </w:p>
        </w:tc>
      </w:tr>
    </w:tbl>
    <w:p>
      <w:pPr>
        <w:spacing w:after="40"/>
      </w:pP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ESTADO DE LAS DENOMINACIONES ESTE B Y ESTE C</w:t>
            </w:r>
          </w:p>
          <w:p>
            <w:pPr>
              <w:spacing w:after="0" w:line="283" w:lineRule="auto"/>
            </w:pPr>
            <w:r>
              <w:rPr>
                <w:rFonts w:ascii="Calibri" w:hAnsi="Calibri"/>
                <w:color w:val="173B4D"/>
                <w:sz w:val="20"/>
              </w:rPr>
              <w:t>Las denominaciones Este B y Este C se conservan únicamente como antecedentes históricos de exploraciones previas. No forman parte del par de alternativas vigente ni deben presentarse como soluciones activas. La comparación actual, la matriz y la presentación v2.2 trabajan con Solución Oeste y Solución Este (eje E6b).</w:t>
            </w:r>
          </w:p>
        </w:tc>
      </w:tr>
    </w:tbl>
    <w:p>
      <w:pPr>
        <w:spacing w:after="20"/>
      </w:pPr>
    </w:p>
    <w:p>
      <w:pPr>
        <w:pStyle w:val="Heading3"/>
      </w:pPr>
      <w:r>
        <w:rPr>
          <w:rFonts w:ascii="Calibri" w:hAnsi="Calibri"/>
        </w:rPr>
        <w:t>Regla de identificación de antecedentes</w:t>
      </w:r>
    </w:p>
    <w:p>
      <w:r>
        <w:rPr>
          <w:rFonts w:ascii="Calibri" w:hAnsi="Calibri"/>
        </w:rPr>
        <w:t>No se empleará de nuevo una denominación B/C ni la expresión “puente de referencia” sin una ficha histórica asociada: identificador documental, título, versión, fecha, ubicación de archivo y plano o lámina de referencia. Mientras esa ficha no exista, estas denominaciones permanecerán fuera de la documentación vigente y solo podrán citarse como antecedentes no operativos.</w:t>
      </w:r>
    </w:p>
    <w:p>
      <w:pPr>
        <w:pStyle w:val="Heading2"/>
      </w:pPr>
      <w:r>
        <w:rPr>
          <w:rFonts w:ascii="Calibri" w:hAnsi="Calibri"/>
        </w:rPr>
        <w:t>3.3 Marco de comparación común</w:t>
      </w:r>
    </w:p>
    <w:tbl>
      <w:tblPr>
        <w:tblW w:type="auto" w:w="0"/>
        <w:tblLook w:firstColumn="1" w:firstRow="1" w:lastColumn="0" w:lastRow="0" w:noHBand="0" w:noVBand="1" w:val="04A0"/>
        <w:jc w:val="center"/>
        <w:tblLayout w:type="fixed"/>
      </w:tblPr>
      <w:tblGrid>
        <w:gridCol w:w="1757"/>
        <w:gridCol w:w="5102"/>
        <w:gridCol w:w="2777"/>
      </w:tblGrid>
      <w:tr>
        <w:trPr>
          <w:tblHeader w:val="true"/>
        </w:trPr>
        <w:tc>
          <w:tcPr>
            <w:tcW w:type="dxa" w:w="1757"/>
            <w:shd w:fill="123E4C"/>
            <w:tcMar>
              <w:top w:w="90" w:type="dxa"/>
              <w:start w:w="120" w:type="dxa"/>
              <w:bottom w:w="90" w:type="dxa"/>
              <w:end w:w="120" w:type="dxa"/>
            </w:tcMar>
            <w:vAlign w:val="center"/>
          </w:tcPr>
          <w:p>
            <w:pPr>
              <w:spacing w:after="0"/>
            </w:pPr>
            <w:r>
              <w:rPr>
                <w:rFonts w:ascii="Calibri" w:hAnsi="Calibri"/>
                <w:b/>
                <w:color w:val="FFFFFF"/>
                <w:sz w:val="17"/>
              </w:rPr>
              <w:t>Criterio</w:t>
            </w:r>
          </w:p>
        </w:tc>
        <w:tc>
          <w:tcPr>
            <w:tcW w:type="dxa" w:w="5102"/>
            <w:shd w:fill="123E4C"/>
            <w:tcMar>
              <w:top w:w="90" w:type="dxa"/>
              <w:start w:w="120" w:type="dxa"/>
              <w:bottom w:w="90" w:type="dxa"/>
              <w:end w:w="120" w:type="dxa"/>
            </w:tcMar>
            <w:vAlign w:val="center"/>
          </w:tcPr>
          <w:p>
            <w:pPr>
              <w:spacing w:after="0"/>
            </w:pPr>
            <w:r>
              <w:rPr>
                <w:rFonts w:ascii="Calibri" w:hAnsi="Calibri"/>
                <w:b/>
                <w:color w:val="FFFFFF"/>
                <w:sz w:val="17"/>
              </w:rPr>
              <w:t>Qué se comparará</w:t>
            </w:r>
          </w:p>
        </w:tc>
        <w:tc>
          <w:tcPr>
            <w:tcW w:type="dxa" w:w="2777"/>
            <w:shd w:fill="123E4C"/>
            <w:tcMar>
              <w:top w:w="90" w:type="dxa"/>
              <w:start w:w="120" w:type="dxa"/>
              <w:bottom w:w="90" w:type="dxa"/>
              <w:end w:w="120" w:type="dxa"/>
            </w:tcMar>
            <w:vAlign w:val="center"/>
          </w:tcPr>
          <w:p>
            <w:pPr>
              <w:spacing w:after="0"/>
            </w:pPr>
            <w:r>
              <w:rPr>
                <w:rFonts w:ascii="Calibri" w:hAnsi="Calibri"/>
                <w:b/>
                <w:color w:val="FFFFFF"/>
                <w:sz w:val="17"/>
              </w:rPr>
              <w:t>Estado</w:t>
            </w:r>
          </w:p>
        </w:tc>
      </w:tr>
      <w:tr>
        <w:tc>
          <w:tcPr>
            <w:tcW w:type="dxa" w:w="1757"/>
            <w:tcMar>
              <w:top w:w="90" w:type="dxa"/>
              <w:start w:w="120" w:type="dxa"/>
              <w:bottom w:w="90" w:type="dxa"/>
              <w:end w:w="120" w:type="dxa"/>
            </w:tcMar>
            <w:vAlign w:val="top"/>
          </w:tcPr>
          <w:p>
            <w:pPr>
              <w:spacing w:after="40" w:line="264" w:lineRule="auto"/>
            </w:pPr>
            <w:r>
              <w:rPr>
                <w:rFonts w:ascii="Calibri" w:hAnsi="Calibri"/>
                <w:color w:val="173B4D"/>
                <w:sz w:val="17"/>
              </w:rPr>
              <w:t>Movilidad y seguridad</w:t>
            </w:r>
          </w:p>
        </w:tc>
        <w:tc>
          <w:tcPr>
            <w:tcW w:type="dxa" w:w="5102"/>
            <w:tcMar>
              <w:top w:w="90" w:type="dxa"/>
              <w:start w:w="120" w:type="dxa"/>
              <w:bottom w:w="90" w:type="dxa"/>
              <w:end w:w="120" w:type="dxa"/>
            </w:tcMar>
            <w:vAlign w:val="top"/>
          </w:tcPr>
          <w:p>
            <w:pPr>
              <w:spacing w:after="40" w:line="264" w:lineRule="auto"/>
            </w:pPr>
            <w:r>
              <w:rPr>
                <w:rFonts w:ascii="Calibri" w:hAnsi="Calibri"/>
                <w:color w:val="173B4D"/>
                <w:sz w:val="17"/>
              </w:rPr>
              <w:t>Continuidad del corredor, accesos, emergencias, tráfico pesado y funcionamiento de enlaces.</w:t>
            </w:r>
          </w:p>
        </w:tc>
        <w:tc>
          <w:tcPr>
            <w:tcW w:type="dxa" w:w="2777"/>
            <w:tcMar>
              <w:top w:w="90" w:type="dxa"/>
              <w:start w:w="120" w:type="dxa"/>
              <w:bottom w:w="90" w:type="dxa"/>
              <w:end w:w="120" w:type="dxa"/>
            </w:tcMar>
            <w:vAlign w:val="top"/>
          </w:tcPr>
          <w:p>
            <w:pPr>
              <w:spacing w:after="40" w:line="264" w:lineRule="auto"/>
            </w:pPr>
            <w:r>
              <w:rPr>
                <w:rFonts w:ascii="Calibri" w:hAnsi="Calibri"/>
                <w:color w:val="173B4D"/>
                <w:sz w:val="17"/>
              </w:rPr>
              <w:t>A completar con aforos y modelo de tráfico.</w:t>
            </w:r>
          </w:p>
        </w:tc>
      </w:tr>
      <w:tr>
        <w:tc>
          <w:tcPr>
            <w:tcW w:type="dxa" w:w="1757"/>
            <w:tcMar>
              <w:top w:w="90" w:type="dxa"/>
              <w:start w:w="120" w:type="dxa"/>
              <w:bottom w:w="90" w:type="dxa"/>
              <w:end w:w="120" w:type="dxa"/>
            </w:tcMar>
            <w:vAlign w:val="top"/>
            <w:shd w:fill="F7FAF9"/>
          </w:tcPr>
          <w:p>
            <w:pPr>
              <w:spacing w:after="40" w:line="264" w:lineRule="auto"/>
            </w:pPr>
            <w:r>
              <w:rPr>
                <w:rFonts w:ascii="Calibri" w:hAnsi="Calibri"/>
                <w:color w:val="173B4D"/>
                <w:sz w:val="17"/>
              </w:rPr>
              <w:t>Vida urbana</w:t>
            </w:r>
          </w:p>
        </w:tc>
        <w:tc>
          <w:tcPr>
            <w:tcW w:type="dxa" w:w="5102"/>
            <w:tcMar>
              <w:top w:w="90" w:type="dxa"/>
              <w:start w:w="120" w:type="dxa"/>
              <w:bottom w:w="90" w:type="dxa"/>
              <w:end w:w="120" w:type="dxa"/>
            </w:tcMar>
            <w:vAlign w:val="top"/>
            <w:shd w:fill="F7FAF9"/>
          </w:tcPr>
          <w:p>
            <w:pPr>
              <w:spacing w:after="40" w:line="264" w:lineRule="auto"/>
            </w:pPr>
            <w:r>
              <w:rPr>
                <w:rFonts w:ascii="Calibri" w:hAnsi="Calibri"/>
                <w:color w:val="173B4D"/>
                <w:sz w:val="17"/>
              </w:rPr>
              <w:t>Reducción de tráfico de paso, seguridad peatonal, comercio, ruido y capacidad de transformar la travesía.</w:t>
            </w:r>
          </w:p>
        </w:tc>
        <w:tc>
          <w:tcPr>
            <w:tcW w:type="dxa" w:w="2777"/>
            <w:tcMar>
              <w:top w:w="90" w:type="dxa"/>
              <w:start w:w="120" w:type="dxa"/>
              <w:bottom w:w="90" w:type="dxa"/>
              <w:end w:w="120" w:type="dxa"/>
            </w:tcMar>
            <w:vAlign w:val="top"/>
            <w:shd w:fill="F7FAF9"/>
          </w:tcPr>
          <w:p>
            <w:pPr>
              <w:spacing w:after="40" w:line="264" w:lineRule="auto"/>
            </w:pPr>
            <w:r>
              <w:rPr>
                <w:rFonts w:ascii="Calibri" w:hAnsi="Calibri"/>
                <w:color w:val="173B4D"/>
                <w:sz w:val="17"/>
              </w:rPr>
              <w:t>Hipótesis de beneficio a validar.</w:t>
            </w:r>
          </w:p>
        </w:tc>
      </w:tr>
      <w:tr>
        <w:tc>
          <w:tcPr>
            <w:tcW w:type="dxa" w:w="1757"/>
            <w:tcMar>
              <w:top w:w="90" w:type="dxa"/>
              <w:start w:w="120" w:type="dxa"/>
              <w:bottom w:w="90" w:type="dxa"/>
              <w:end w:w="120" w:type="dxa"/>
            </w:tcMar>
            <w:vAlign w:val="top"/>
          </w:tcPr>
          <w:p>
            <w:pPr>
              <w:spacing w:after="40" w:line="264" w:lineRule="auto"/>
            </w:pPr>
            <w:r>
              <w:rPr>
                <w:rFonts w:ascii="Calibri" w:hAnsi="Calibri"/>
                <w:color w:val="173B4D"/>
                <w:sz w:val="17"/>
              </w:rPr>
              <w:t>Territorio y ambiente</w:t>
            </w:r>
          </w:p>
        </w:tc>
        <w:tc>
          <w:tcPr>
            <w:tcW w:type="dxa" w:w="5102"/>
            <w:tcMar>
              <w:top w:w="90" w:type="dxa"/>
              <w:start w:w="120" w:type="dxa"/>
              <w:bottom w:w="90" w:type="dxa"/>
              <w:end w:w="120" w:type="dxa"/>
            </w:tcMar>
            <w:vAlign w:val="top"/>
          </w:tcPr>
          <w:p>
            <w:pPr>
              <w:spacing w:after="40" w:line="264" w:lineRule="auto"/>
            </w:pPr>
            <w:r>
              <w:rPr>
                <w:rFonts w:ascii="Calibri" w:hAnsi="Calibri"/>
                <w:color w:val="173B4D"/>
                <w:sz w:val="17"/>
              </w:rPr>
              <w:t>Agua, geología, paisaje, biodiversidad, patrimonio y ocupación de suelo.</w:t>
            </w:r>
          </w:p>
        </w:tc>
        <w:tc>
          <w:tcPr>
            <w:tcW w:type="dxa" w:w="2777"/>
            <w:tcMar>
              <w:top w:w="90" w:type="dxa"/>
              <w:start w:w="120" w:type="dxa"/>
              <w:bottom w:w="90" w:type="dxa"/>
              <w:end w:w="120" w:type="dxa"/>
            </w:tcMar>
            <w:vAlign w:val="top"/>
          </w:tcPr>
          <w:p>
            <w:pPr>
              <w:spacing w:after="40" w:line="264" w:lineRule="auto"/>
            </w:pPr>
            <w:r>
              <w:rPr>
                <w:rFonts w:ascii="Calibri" w:hAnsi="Calibri"/>
                <w:color w:val="173B4D"/>
                <w:sz w:val="17"/>
              </w:rPr>
              <w:t>Cribado inicial; requiere estudios específicos.</w:t>
            </w:r>
          </w:p>
        </w:tc>
      </w:tr>
      <w:tr>
        <w:tc>
          <w:tcPr>
            <w:tcW w:type="dxa" w:w="1757"/>
            <w:tcMar>
              <w:top w:w="90" w:type="dxa"/>
              <w:start w:w="120" w:type="dxa"/>
              <w:bottom w:w="90" w:type="dxa"/>
              <w:end w:w="120" w:type="dxa"/>
            </w:tcMar>
            <w:vAlign w:val="top"/>
            <w:shd w:fill="F7FAF9"/>
          </w:tcPr>
          <w:p>
            <w:pPr>
              <w:spacing w:after="40" w:line="264" w:lineRule="auto"/>
            </w:pPr>
            <w:r>
              <w:rPr>
                <w:rFonts w:ascii="Calibri" w:hAnsi="Calibri"/>
                <w:color w:val="173B4D"/>
                <w:sz w:val="17"/>
              </w:rPr>
              <w:t>Economía y ejecución</w:t>
            </w:r>
          </w:p>
        </w:tc>
        <w:tc>
          <w:tcPr>
            <w:tcW w:type="dxa" w:w="5102"/>
            <w:tcMar>
              <w:top w:w="90" w:type="dxa"/>
              <w:start w:w="120" w:type="dxa"/>
              <w:bottom w:w="90" w:type="dxa"/>
              <w:end w:w="120" w:type="dxa"/>
            </w:tcMar>
            <w:vAlign w:val="top"/>
            <w:shd w:fill="F7FAF9"/>
          </w:tcPr>
          <w:p>
            <w:pPr>
              <w:spacing w:after="40" w:line="264" w:lineRule="auto"/>
            </w:pPr>
            <w:r>
              <w:rPr>
                <w:rFonts w:ascii="Calibri" w:hAnsi="Calibri"/>
                <w:color w:val="173B4D"/>
                <w:sz w:val="17"/>
              </w:rPr>
              <w:t>Inversión, incertidumbre, plazo, expropiaciones, constructibilidad, operación y mantenimiento.</w:t>
            </w:r>
          </w:p>
        </w:tc>
        <w:tc>
          <w:tcPr>
            <w:tcW w:type="dxa" w:w="2777"/>
            <w:tcMar>
              <w:top w:w="90" w:type="dxa"/>
              <w:start w:w="120" w:type="dxa"/>
              <w:bottom w:w="90" w:type="dxa"/>
              <w:end w:w="120" w:type="dxa"/>
            </w:tcMar>
            <w:vAlign w:val="top"/>
            <w:shd w:fill="F7FAF9"/>
          </w:tcPr>
          <w:p>
            <w:pPr>
              <w:spacing w:after="40" w:line="264" w:lineRule="auto"/>
            </w:pPr>
            <w:r>
              <w:rPr>
                <w:rFonts w:ascii="Calibri" w:hAnsi="Calibri"/>
                <w:color w:val="173B4D"/>
                <w:sz w:val="17"/>
              </w:rPr>
              <w:t>Bandas conceptuales vigentes en ambas; requiere homogeneizar anteproyecto y ciclo de vida.</w:t>
            </w:r>
          </w:p>
        </w:tc>
      </w:tr>
    </w:tbl>
    <w:p>
      <w:pPr>
        <w:spacing w:after="40"/>
      </w:pPr>
    </w:p>
    <w:p>
      <w:pPr>
        <w:pStyle w:val="Heading2"/>
      </w:pPr>
      <w:r>
        <w:rPr>
          <w:rFonts w:ascii="Calibri" w:hAnsi="Calibri"/>
        </w:rPr>
        <w:t>3.4 Lectura comparativa vigente</w:t>
      </w:r>
    </w:p>
    <w:tbl>
      <w:tblPr>
        <w:tblW w:type="auto" w:w="0"/>
        <w:tblLook w:firstColumn="1" w:firstRow="1" w:lastColumn="0" w:lastRow="0" w:noHBand="0" w:noVBand="1" w:val="04A0"/>
        <w:jc w:val="center"/>
        <w:tblLayout w:type="fixed"/>
      </w:tblPr>
      <w:tblGrid>
        <w:gridCol w:w="1984"/>
        <w:gridCol w:w="1870"/>
        <w:gridCol w:w="1870"/>
        <w:gridCol w:w="3911"/>
      </w:tblGrid>
      <w:tr>
        <w:trPr>
          <w:tblHeader w:val="true"/>
        </w:trPr>
        <w:tc>
          <w:tcPr>
            <w:tcW w:type="dxa" w:w="1984"/>
            <w:shd w:fill="123E4C"/>
            <w:tcMar>
              <w:top w:w="90" w:type="dxa"/>
              <w:start w:w="120" w:type="dxa"/>
              <w:bottom w:w="90" w:type="dxa"/>
              <w:end w:w="120" w:type="dxa"/>
            </w:tcMar>
            <w:vAlign w:val="center"/>
          </w:tcPr>
          <w:p>
            <w:pPr>
              <w:spacing w:after="0"/>
            </w:pPr>
            <w:r>
              <w:rPr>
                <w:rFonts w:ascii="Calibri" w:hAnsi="Calibri"/>
                <w:b/>
                <w:color w:val="FFFFFF"/>
                <w:sz w:val="17"/>
              </w:rPr>
              <w:t>Indicador</w:t>
            </w:r>
          </w:p>
        </w:tc>
        <w:tc>
          <w:tcPr>
            <w:tcW w:type="dxa" w:w="1870"/>
            <w:shd w:fill="123E4C"/>
            <w:tcMar>
              <w:top w:w="90" w:type="dxa"/>
              <w:start w:w="120" w:type="dxa"/>
              <w:bottom w:w="90" w:type="dxa"/>
              <w:end w:w="120" w:type="dxa"/>
            </w:tcMar>
            <w:vAlign w:val="center"/>
          </w:tcPr>
          <w:p>
            <w:pPr>
              <w:spacing w:after="0"/>
            </w:pPr>
            <w:r>
              <w:rPr>
                <w:rFonts w:ascii="Calibri" w:hAnsi="Calibri"/>
                <w:b/>
                <w:color w:val="FFFFFF"/>
                <w:sz w:val="17"/>
              </w:rPr>
              <w:t>Oeste</w:t>
            </w:r>
          </w:p>
        </w:tc>
        <w:tc>
          <w:tcPr>
            <w:tcW w:type="dxa" w:w="1870"/>
            <w:shd w:fill="123E4C"/>
            <w:tcMar>
              <w:top w:w="90" w:type="dxa"/>
              <w:start w:w="120" w:type="dxa"/>
              <w:bottom w:w="90" w:type="dxa"/>
              <w:end w:w="120" w:type="dxa"/>
            </w:tcMar>
            <w:vAlign w:val="center"/>
          </w:tcPr>
          <w:p>
            <w:pPr>
              <w:spacing w:after="0"/>
            </w:pPr>
            <w:r>
              <w:rPr>
                <w:rFonts w:ascii="Calibri" w:hAnsi="Calibri"/>
                <w:b/>
                <w:color w:val="FFFFFF"/>
                <w:sz w:val="17"/>
              </w:rPr>
              <w:t>Este</w:t>
            </w:r>
          </w:p>
        </w:tc>
        <w:tc>
          <w:tcPr>
            <w:tcW w:type="dxa" w:w="3911"/>
            <w:shd w:fill="123E4C"/>
            <w:tcMar>
              <w:top w:w="90" w:type="dxa"/>
              <w:start w:w="120" w:type="dxa"/>
              <w:bottom w:w="90" w:type="dxa"/>
              <w:end w:w="120" w:type="dxa"/>
            </w:tcMar>
            <w:vAlign w:val="center"/>
          </w:tcPr>
          <w:p>
            <w:pPr>
              <w:spacing w:after="0"/>
            </w:pPr>
            <w:r>
              <w:rPr>
                <w:rFonts w:ascii="Calibri" w:hAnsi="Calibri"/>
                <w:b/>
                <w:color w:val="FFFFFF"/>
                <w:sz w:val="17"/>
              </w:rPr>
              <w:t>Lectura actual</w:t>
            </w:r>
          </w:p>
        </w:tc>
      </w:tr>
      <w:tr>
        <w:tc>
          <w:tcPr>
            <w:tcW w:type="dxa" w:w="1984"/>
            <w:tcMar>
              <w:top w:w="90" w:type="dxa"/>
              <w:start w:w="120" w:type="dxa"/>
              <w:bottom w:w="90" w:type="dxa"/>
              <w:end w:w="120" w:type="dxa"/>
            </w:tcMar>
            <w:vAlign w:val="top"/>
          </w:tcPr>
          <w:p>
            <w:pPr>
              <w:spacing w:after="40" w:line="264" w:lineRule="auto"/>
            </w:pPr>
            <w:r>
              <w:rPr>
                <w:rFonts w:ascii="Calibri" w:hAnsi="Calibri"/>
                <w:color w:val="173B4D"/>
                <w:sz w:val="17"/>
              </w:rPr>
              <w:t>Inversión probable</w:t>
            </w:r>
          </w:p>
        </w:tc>
        <w:tc>
          <w:tcPr>
            <w:tcW w:type="dxa" w:w="1870"/>
            <w:tcMar>
              <w:top w:w="90" w:type="dxa"/>
              <w:start w:w="120" w:type="dxa"/>
              <w:bottom w:w="90" w:type="dxa"/>
              <w:end w:w="120" w:type="dxa"/>
            </w:tcMar>
            <w:vAlign w:val="top"/>
          </w:tcPr>
          <w:p>
            <w:pPr>
              <w:spacing w:after="40" w:line="264" w:lineRule="auto"/>
            </w:pPr>
            <w:r>
              <w:rPr>
                <w:rFonts w:ascii="Calibri" w:hAnsi="Calibri"/>
                <w:color w:val="173B4D"/>
                <w:sz w:val="17"/>
              </w:rPr>
              <w:t>264,0 M€</w:t>
            </w:r>
          </w:p>
        </w:tc>
        <w:tc>
          <w:tcPr>
            <w:tcW w:type="dxa" w:w="1870"/>
            <w:tcMar>
              <w:top w:w="90" w:type="dxa"/>
              <w:start w:w="120" w:type="dxa"/>
              <w:bottom w:w="90" w:type="dxa"/>
              <w:end w:w="120" w:type="dxa"/>
            </w:tcMar>
            <w:vAlign w:val="top"/>
          </w:tcPr>
          <w:p>
            <w:pPr>
              <w:spacing w:after="40" w:line="264" w:lineRule="auto"/>
            </w:pPr>
            <w:r>
              <w:rPr>
                <w:rFonts w:ascii="Calibri" w:hAnsi="Calibri"/>
                <w:color w:val="173B4D"/>
                <w:sz w:val="17"/>
              </w:rPr>
              <w:t>139,5 M€</w:t>
            </w:r>
          </w:p>
        </w:tc>
        <w:tc>
          <w:tcPr>
            <w:tcW w:type="dxa" w:w="3911"/>
            <w:tcMar>
              <w:top w:w="90" w:type="dxa"/>
              <w:start w:w="120" w:type="dxa"/>
              <w:bottom w:w="90" w:type="dxa"/>
              <w:end w:w="120" w:type="dxa"/>
            </w:tcMar>
            <w:vAlign w:val="top"/>
          </w:tcPr>
          <w:p>
            <w:pPr>
              <w:spacing w:after="40" w:line="264" w:lineRule="auto"/>
            </w:pPr>
            <w:r>
              <w:rPr>
                <w:rFonts w:ascii="Calibri" w:hAnsi="Calibri"/>
                <w:color w:val="173B4D"/>
                <w:sz w:val="17"/>
              </w:rPr>
              <w:t>Oeste ≈ 1,89 veces la base Este.</w:t>
            </w:r>
          </w:p>
        </w:tc>
      </w:tr>
      <w:tr>
        <w:tc>
          <w:tcPr>
            <w:tcW w:type="dxa" w:w="1984"/>
            <w:tcMar>
              <w:top w:w="90" w:type="dxa"/>
              <w:start w:w="120" w:type="dxa"/>
              <w:bottom w:w="90" w:type="dxa"/>
              <w:end w:w="120" w:type="dxa"/>
            </w:tcMar>
            <w:vAlign w:val="top"/>
            <w:shd w:fill="F7FAF9"/>
          </w:tcPr>
          <w:p>
            <w:pPr>
              <w:spacing w:after="40" w:line="264" w:lineRule="auto"/>
            </w:pPr>
            <w:r>
              <w:rPr>
                <w:rFonts w:ascii="Calibri" w:hAnsi="Calibri"/>
                <w:color w:val="173B4D"/>
                <w:sz w:val="17"/>
              </w:rPr>
              <w:t>Rango paramétrico</w:t>
            </w:r>
          </w:p>
        </w:tc>
        <w:tc>
          <w:tcPr>
            <w:tcW w:type="dxa" w:w="1870"/>
            <w:tcMar>
              <w:top w:w="90" w:type="dxa"/>
              <w:start w:w="120" w:type="dxa"/>
              <w:bottom w:w="90" w:type="dxa"/>
              <w:end w:w="120" w:type="dxa"/>
            </w:tcMar>
            <w:vAlign w:val="top"/>
            <w:shd w:fill="F7FAF9"/>
          </w:tcPr>
          <w:p>
            <w:pPr>
              <w:spacing w:after="40" w:line="264" w:lineRule="auto"/>
            </w:pPr>
            <w:r>
              <w:rPr>
                <w:rFonts w:ascii="Calibri" w:hAnsi="Calibri"/>
                <w:color w:val="173B4D"/>
                <w:sz w:val="17"/>
              </w:rPr>
              <w:t>172,5–412,9 M€</w:t>
            </w:r>
          </w:p>
        </w:tc>
        <w:tc>
          <w:tcPr>
            <w:tcW w:type="dxa" w:w="1870"/>
            <w:tcMar>
              <w:top w:w="90" w:type="dxa"/>
              <w:start w:w="120" w:type="dxa"/>
              <w:bottom w:w="90" w:type="dxa"/>
              <w:end w:w="120" w:type="dxa"/>
            </w:tcMar>
            <w:vAlign w:val="top"/>
            <w:shd w:fill="F7FAF9"/>
          </w:tcPr>
          <w:p>
            <w:pPr>
              <w:spacing w:after="40" w:line="264" w:lineRule="auto"/>
            </w:pPr>
            <w:r>
              <w:rPr>
                <w:rFonts w:ascii="Calibri" w:hAnsi="Calibri"/>
                <w:color w:val="173B4D"/>
                <w:sz w:val="17"/>
              </w:rPr>
              <w:t>91,3–222,5 M€</w:t>
            </w:r>
          </w:p>
        </w:tc>
        <w:tc>
          <w:tcPr>
            <w:tcW w:type="dxa" w:w="3911"/>
            <w:tcMar>
              <w:top w:w="90" w:type="dxa"/>
              <w:start w:w="120" w:type="dxa"/>
              <w:bottom w:w="90" w:type="dxa"/>
              <w:end w:w="120" w:type="dxa"/>
            </w:tcMar>
            <w:vAlign w:val="top"/>
            <w:shd w:fill="F7FAF9"/>
          </w:tcPr>
          <w:p>
            <w:pPr>
              <w:spacing w:after="40" w:line="264" w:lineRule="auto"/>
            </w:pPr>
            <w:r>
              <w:rPr>
                <w:rFonts w:ascii="Calibri" w:hAnsi="Calibri"/>
                <w:color w:val="173B4D"/>
                <w:sz w:val="17"/>
              </w:rPr>
              <w:t>Las bandas se solapan; la incertidumbre técnica importa.</w:t>
            </w:r>
          </w:p>
        </w:tc>
      </w:tr>
      <w:tr>
        <w:tc>
          <w:tcPr>
            <w:tcW w:type="dxa" w:w="1984"/>
            <w:tcMar>
              <w:top w:w="90" w:type="dxa"/>
              <w:start w:w="120" w:type="dxa"/>
              <w:bottom w:w="90" w:type="dxa"/>
              <w:end w:w="120" w:type="dxa"/>
            </w:tcMar>
            <w:vAlign w:val="top"/>
          </w:tcPr>
          <w:p>
            <w:pPr>
              <w:spacing w:after="40" w:line="264" w:lineRule="auto"/>
            </w:pPr>
            <w:r>
              <w:rPr>
                <w:rFonts w:ascii="Calibri" w:hAnsi="Calibri"/>
                <w:color w:val="173B4D"/>
                <w:sz w:val="17"/>
              </w:rPr>
              <w:t>Huella superficial</w:t>
            </w:r>
          </w:p>
        </w:tc>
        <w:tc>
          <w:tcPr>
            <w:tcW w:type="dxa" w:w="1870"/>
            <w:tcMar>
              <w:top w:w="90" w:type="dxa"/>
              <w:start w:w="120" w:type="dxa"/>
              <w:bottom w:w="90" w:type="dxa"/>
              <w:end w:w="120" w:type="dxa"/>
            </w:tcMar>
            <w:vAlign w:val="top"/>
          </w:tcPr>
          <w:p>
            <w:pPr>
              <w:spacing w:after="40" w:line="264" w:lineRule="auto"/>
            </w:pPr>
            <w:r>
              <w:rPr>
                <w:rFonts w:ascii="Calibri" w:hAnsi="Calibri"/>
                <w:color w:val="173B4D"/>
                <w:sz w:val="17"/>
              </w:rPr>
              <w:t>Concentrada en portales, conexiones y auxiliares</w:t>
            </w:r>
          </w:p>
        </w:tc>
        <w:tc>
          <w:tcPr>
            <w:tcW w:type="dxa" w:w="1870"/>
            <w:tcMar>
              <w:top w:w="90" w:type="dxa"/>
              <w:start w:w="120" w:type="dxa"/>
              <w:bottom w:w="90" w:type="dxa"/>
              <w:end w:w="120" w:type="dxa"/>
            </w:tcMar>
            <w:vAlign w:val="top"/>
          </w:tcPr>
          <w:p>
            <w:pPr>
              <w:spacing w:after="40" w:line="264" w:lineRule="auto"/>
            </w:pPr>
            <w:r>
              <w:rPr>
                <w:rFonts w:ascii="Calibri" w:hAnsi="Calibri"/>
                <w:color w:val="173B4D"/>
                <w:sz w:val="17"/>
              </w:rPr>
              <w:t>Lineal y distribuida en el corredor oriental</w:t>
            </w:r>
          </w:p>
        </w:tc>
        <w:tc>
          <w:tcPr>
            <w:tcW w:type="dxa" w:w="3911"/>
            <w:tcMar>
              <w:top w:w="90" w:type="dxa"/>
              <w:start w:w="120" w:type="dxa"/>
              <w:bottom w:w="90" w:type="dxa"/>
              <w:end w:w="120" w:type="dxa"/>
            </w:tcMar>
            <w:vAlign w:val="top"/>
          </w:tcPr>
          <w:p>
            <w:pPr>
              <w:spacing w:after="40" w:line="264" w:lineRule="auto"/>
            </w:pPr>
            <w:r>
              <w:rPr>
                <w:rFonts w:ascii="Calibri" w:hAnsi="Calibri"/>
                <w:color w:val="173B4D"/>
                <w:sz w:val="17"/>
              </w:rPr>
              <w:t>Ventaja cualitativa preliminar Oeste; no equivale a ausencia de derechos o afecciones.</w:t>
            </w:r>
          </w:p>
        </w:tc>
      </w:tr>
      <w:tr>
        <w:tc>
          <w:tcPr>
            <w:tcW w:type="dxa" w:w="1984"/>
            <w:tcMar>
              <w:top w:w="90" w:type="dxa"/>
              <w:start w:w="120" w:type="dxa"/>
              <w:bottom w:w="90" w:type="dxa"/>
              <w:end w:w="120" w:type="dxa"/>
            </w:tcMar>
            <w:vAlign w:val="top"/>
            <w:shd w:fill="F7FAF9"/>
          </w:tcPr>
          <w:p>
            <w:pPr>
              <w:spacing w:after="40" w:line="264" w:lineRule="auto"/>
            </w:pPr>
            <w:r>
              <w:rPr>
                <w:rFonts w:ascii="Calibri" w:hAnsi="Calibri"/>
                <w:color w:val="173B4D"/>
                <w:sz w:val="17"/>
              </w:rPr>
              <w:t>Riesgo decisivo</w:t>
            </w:r>
          </w:p>
        </w:tc>
        <w:tc>
          <w:tcPr>
            <w:tcW w:type="dxa" w:w="1870"/>
            <w:tcMar>
              <w:top w:w="90" w:type="dxa"/>
              <w:start w:w="120" w:type="dxa"/>
              <w:bottom w:w="90" w:type="dxa"/>
              <w:end w:w="120" w:type="dxa"/>
            </w:tcMar>
            <w:vAlign w:val="top"/>
            <w:shd w:fill="F7FAF9"/>
          </w:tcPr>
          <w:p>
            <w:pPr>
              <w:spacing w:after="40" w:line="264" w:lineRule="auto"/>
            </w:pPr>
            <w:r>
              <w:rPr>
                <w:rFonts w:ascii="Calibri" w:hAnsi="Calibri"/>
                <w:color w:val="173B4D"/>
                <w:sz w:val="17"/>
              </w:rPr>
              <w:t>Geotecnia, agua subterránea, sostenimiento, seguridad y operación</w:t>
            </w:r>
          </w:p>
        </w:tc>
        <w:tc>
          <w:tcPr>
            <w:tcW w:type="dxa" w:w="1870"/>
            <w:tcMar>
              <w:top w:w="90" w:type="dxa"/>
              <w:start w:w="120" w:type="dxa"/>
              <w:bottom w:w="90" w:type="dxa"/>
              <w:end w:w="120" w:type="dxa"/>
            </w:tcMar>
            <w:vAlign w:val="top"/>
            <w:shd w:fill="F7FAF9"/>
          </w:tcPr>
          <w:p>
            <w:pPr>
              <w:spacing w:after="40" w:line="264" w:lineRule="auto"/>
            </w:pPr>
            <w:r>
              <w:rPr>
                <w:rFonts w:ascii="Calibri" w:hAnsi="Calibri"/>
                <w:color w:val="173B4D"/>
                <w:sz w:val="17"/>
              </w:rPr>
              <w:t>Hidráulica, cimentaciones, puente/viaducto, parcelas y paisaje</w:t>
            </w:r>
          </w:p>
        </w:tc>
        <w:tc>
          <w:tcPr>
            <w:tcW w:type="dxa" w:w="3911"/>
            <w:tcMar>
              <w:top w:w="90" w:type="dxa"/>
              <w:start w:w="120" w:type="dxa"/>
              <w:bottom w:w="90" w:type="dxa"/>
              <w:end w:w="120" w:type="dxa"/>
            </w:tcMar>
            <w:vAlign w:val="top"/>
            <w:shd w:fill="F7FAF9"/>
          </w:tcPr>
          <w:p>
            <w:pPr>
              <w:spacing w:after="40" w:line="264" w:lineRule="auto"/>
            </w:pPr>
            <w:r>
              <w:rPr>
                <w:rFonts w:ascii="Calibri" w:hAnsi="Calibri"/>
                <w:color w:val="173B4D"/>
                <w:sz w:val="17"/>
              </w:rPr>
              <w:t>Ambas necesitan estudios específicos antes de cualquier elección.</w:t>
            </w:r>
          </w:p>
        </w:tc>
      </w:tr>
    </w:tbl>
    <w:p>
      <w:pPr>
        <w:spacing w:after="40"/>
      </w:pP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REQUISITO DE COMPARABILIDAD ECONÓMICA</w:t>
            </w:r>
          </w:p>
          <w:p>
            <w:pPr>
              <w:spacing w:after="0" w:line="283" w:lineRule="auto"/>
            </w:pPr>
            <w:r>
              <w:rPr>
                <w:rFonts w:ascii="Calibri" w:hAnsi="Calibri"/>
                <w:color w:val="173B4D"/>
                <w:sz w:val="20"/>
              </w:rPr>
              <w:t>La Este sí dispone de una banda conceptual vigente (91,3 / 139,5 / 222,5 M€ con IVA), pero no de un anteproyecto ni de un coste de ciclo de vida homologados con la Oeste. Antes de decidir, ambas soluciones deberán evaluarse con el mismo alcance, capítulos, contingencias, horizonte de operación y base de precios.</w:t>
            </w:r>
          </w:p>
        </w:tc>
      </w:tr>
    </w:tbl>
    <w:p>
      <w:pPr>
        <w:spacing w:after="20"/>
      </w:pPr>
    </w:p>
    <w:p>
      <w:pPr>
        <w:pStyle w:val="Heading2"/>
      </w:pPr>
      <w:r>
        <w:rPr>
          <w:rFonts w:ascii="Calibri" w:hAnsi="Calibri"/>
        </w:rPr>
        <w:t>3.5 Verificación cruzada de parámetros incorporados</w:t>
      </w:r>
    </w:p>
    <w:p>
      <w:r>
        <w:rPr>
          <w:rFonts w:ascii="Calibri" w:hAnsi="Calibri"/>
        </w:rPr>
        <w:t>Los parámetros resumidos arriba han sido comprobados uno por uno. CMP-010 v0.3 conserva la precisión de cálculo; CMP-011 v0.3 fija la síntesis comparativa; PI-001 v2.2 comunica los mismos órdenes de magnitud con redondeos editoriales. No se ha detectado una discrepancia técnica que deba convertirse en hipótesis pendiente.</w:t>
      </w:r>
    </w:p>
    <w:tbl>
      <w:tblPr>
        <w:tblW w:type="auto" w:w="0"/>
        <w:tblLook w:firstColumn="1" w:firstRow="1" w:lastColumn="0" w:lastRow="0" w:noHBand="0" w:noVBand="1" w:val="04A0"/>
        <w:jc w:val="center"/>
        <w:tblLayout w:type="fixed"/>
      </w:tblPr>
      <w:tblGrid>
        <w:gridCol w:w="1927"/>
        <w:gridCol w:w="2834"/>
        <w:gridCol w:w="4875"/>
      </w:tblGrid>
      <w:tr>
        <w:trPr>
          <w:tblHeader w:val="true"/>
        </w:trPr>
        <w:tc>
          <w:tcPr>
            <w:tcW w:type="dxa" w:w="1927"/>
            <w:shd w:fill="123E4C"/>
            <w:tcMar>
              <w:top w:w="90" w:type="dxa"/>
              <w:start w:w="120" w:type="dxa"/>
              <w:bottom w:w="90" w:type="dxa"/>
              <w:end w:w="120" w:type="dxa"/>
            </w:tcMar>
            <w:vAlign w:val="center"/>
          </w:tcPr>
          <w:p>
            <w:pPr>
              <w:spacing w:after="0"/>
            </w:pPr>
            <w:r>
              <w:rPr>
                <w:rFonts w:ascii="Calibri" w:hAnsi="Calibri"/>
                <w:b/>
                <w:color w:val="FFFFFF"/>
                <w:sz w:val="17"/>
              </w:rPr>
              <w:t>Bloque</w:t>
            </w:r>
          </w:p>
        </w:tc>
        <w:tc>
          <w:tcPr>
            <w:tcW w:type="dxa" w:w="2834"/>
            <w:shd w:fill="123E4C"/>
            <w:tcMar>
              <w:top w:w="90" w:type="dxa"/>
              <w:start w:w="120" w:type="dxa"/>
              <w:bottom w:w="90" w:type="dxa"/>
              <w:end w:w="120" w:type="dxa"/>
            </w:tcMar>
            <w:vAlign w:val="center"/>
          </w:tcPr>
          <w:p>
            <w:pPr>
              <w:spacing w:after="0"/>
            </w:pPr>
            <w:r>
              <w:rPr>
                <w:rFonts w:ascii="Calibri" w:hAnsi="Calibri"/>
                <w:b/>
                <w:color w:val="FFFFFF"/>
                <w:sz w:val="17"/>
              </w:rPr>
              <w:t>Valor de trabajo en v1.1</w:t>
            </w:r>
          </w:p>
        </w:tc>
        <w:tc>
          <w:tcPr>
            <w:tcW w:type="dxa" w:w="4875"/>
            <w:shd w:fill="123E4C"/>
            <w:tcMar>
              <w:top w:w="90" w:type="dxa"/>
              <w:start w:w="120" w:type="dxa"/>
              <w:bottom w:w="90" w:type="dxa"/>
              <w:end w:w="120" w:type="dxa"/>
            </w:tcMar>
            <w:vAlign w:val="center"/>
          </w:tcPr>
          <w:p>
            <w:pPr>
              <w:spacing w:after="0"/>
            </w:pPr>
            <w:r>
              <w:rPr>
                <w:rFonts w:ascii="Calibri" w:hAnsi="Calibri"/>
                <w:b/>
                <w:color w:val="FFFFFF"/>
                <w:sz w:val="17"/>
              </w:rPr>
              <w:t>Resultado del contraste</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Oeste: longitud y túnel</w:t>
            </w:r>
          </w:p>
        </w:tc>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 4,59 km total; ≈ 3,39 km en mina.</w:t>
            </w:r>
          </w:p>
        </w:tc>
        <w:tc>
          <w:tcPr>
            <w:tcW w:type="dxa" w:w="4875"/>
            <w:tcMar>
              <w:top w:w="90" w:type="dxa"/>
              <w:start w:w="120" w:type="dxa"/>
              <w:bottom w:w="90" w:type="dxa"/>
              <w:end w:w="120" w:type="dxa"/>
            </w:tcMar>
            <w:vAlign w:val="top"/>
          </w:tcPr>
          <w:p>
            <w:pPr>
              <w:spacing w:after="40" w:line="264" w:lineRule="auto"/>
            </w:pPr>
            <w:r>
              <w:rPr>
                <w:rFonts w:ascii="Calibri" w:hAnsi="Calibri"/>
                <w:color w:val="173B4D"/>
                <w:sz w:val="17"/>
              </w:rPr>
              <w:t>Coincide: CMP-010 4,5912 / 3,3912 km; CMP-011 y PI-001 redondean a ≈ 4,59 / 3,39 km.</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Oeste: pendiente y economía</w:t>
            </w:r>
          </w:p>
        </w:tc>
        <w:tc>
          <w:tcPr>
            <w:tcW w:type="dxa" w:w="2834"/>
            <w:tcMar>
              <w:top w:w="90" w:type="dxa"/>
              <w:start w:w="120" w:type="dxa"/>
              <w:bottom w:w="90" w:type="dxa"/>
              <w:end w:w="120" w:type="dxa"/>
            </w:tcMar>
            <w:vAlign w:val="top"/>
            <w:shd w:fill="F7FAF9"/>
          </w:tcPr>
          <w:p>
            <w:pPr>
              <w:spacing w:after="40" w:line="264" w:lineRule="auto"/>
            </w:pPr>
            <w:r>
              <w:rPr>
                <w:rFonts w:ascii="Calibri" w:hAnsi="Calibri"/>
                <w:color w:val="173B4D"/>
                <w:sz w:val="17"/>
              </w:rPr>
              <w:t>≈ 0,54 %; 172,5 / 264,0 / 412,9 M€ IVA.</w:t>
            </w:r>
          </w:p>
        </w:tc>
        <w:tc>
          <w:tcPr>
            <w:tcW w:type="dxa" w:w="4875"/>
            <w:tcMar>
              <w:top w:w="90" w:type="dxa"/>
              <w:start w:w="120" w:type="dxa"/>
              <w:bottom w:w="90" w:type="dxa"/>
              <w:end w:w="120" w:type="dxa"/>
            </w:tcMar>
            <w:vAlign w:val="top"/>
            <w:shd w:fill="F7FAF9"/>
          </w:tcPr>
          <w:p>
            <w:pPr>
              <w:spacing w:after="40" w:line="264" w:lineRule="auto"/>
            </w:pPr>
            <w:r>
              <w:rPr>
                <w:rFonts w:ascii="Calibri" w:hAnsi="Calibri"/>
                <w:color w:val="173B4D"/>
                <w:sz w:val="17"/>
              </w:rPr>
              <w:t>Coincide: precisión CMP-010 0,54118 % y 172,476 / 264,019 / 412,945 M€; PI-001 usa redondeo de presentación.</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Este E6b: eje y viaducto</w:t>
            </w:r>
          </w:p>
        </w:tc>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 2,74 km; viaducto base 650 m.</w:t>
            </w:r>
          </w:p>
        </w:tc>
        <w:tc>
          <w:tcPr>
            <w:tcW w:type="dxa" w:w="4875"/>
            <w:tcMar>
              <w:top w:w="90" w:type="dxa"/>
              <w:start w:w="120" w:type="dxa"/>
              <w:bottom w:w="90" w:type="dxa"/>
              <w:end w:w="120" w:type="dxa"/>
            </w:tcMar>
            <w:vAlign w:val="top"/>
          </w:tcPr>
          <w:p>
            <w:pPr>
              <w:spacing w:after="40" w:line="264" w:lineRule="auto"/>
            </w:pPr>
            <w:r>
              <w:rPr>
                <w:rFonts w:ascii="Calibri" w:hAnsi="Calibri"/>
                <w:color w:val="173B4D"/>
                <w:sz w:val="17"/>
              </w:rPr>
              <w:t>Coincide: CMP-010 2,7442 km; CMP-011 ≈ 2,74 km; PI-001 2,744 km; 650 m en las tres fuentes.</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Este E6b: pendiente y economía</w:t>
            </w:r>
          </w:p>
        </w:tc>
        <w:tc>
          <w:tcPr>
            <w:tcW w:type="dxa" w:w="2834"/>
            <w:tcMar>
              <w:top w:w="90" w:type="dxa"/>
              <w:start w:w="120" w:type="dxa"/>
              <w:bottom w:w="90" w:type="dxa"/>
              <w:end w:w="120" w:type="dxa"/>
            </w:tcMar>
            <w:vAlign w:val="top"/>
            <w:shd w:fill="F7FAF9"/>
          </w:tcPr>
          <w:p>
            <w:pPr>
              <w:spacing w:after="40" w:line="264" w:lineRule="auto"/>
            </w:pPr>
            <w:r>
              <w:rPr>
                <w:rFonts w:ascii="Calibri" w:hAnsi="Calibri"/>
                <w:color w:val="173B4D"/>
                <w:sz w:val="17"/>
              </w:rPr>
              <w:t>≈ 5,33 %; 91,3 / 139,5 / 222,5 M€ IVA.</w:t>
            </w:r>
          </w:p>
        </w:tc>
        <w:tc>
          <w:tcPr>
            <w:tcW w:type="dxa" w:w="4875"/>
            <w:tcMar>
              <w:top w:w="90" w:type="dxa"/>
              <w:start w:w="120" w:type="dxa"/>
              <w:bottom w:w="90" w:type="dxa"/>
              <w:end w:w="120" w:type="dxa"/>
            </w:tcMar>
            <w:vAlign w:val="top"/>
            <w:shd w:fill="F7FAF9"/>
          </w:tcPr>
          <w:p>
            <w:pPr>
              <w:spacing w:after="40" w:line="264" w:lineRule="auto"/>
            </w:pPr>
            <w:r>
              <w:rPr>
                <w:rFonts w:ascii="Calibri" w:hAnsi="Calibri"/>
                <w:color w:val="173B4D"/>
                <w:sz w:val="17"/>
              </w:rPr>
              <w:t>Coincide: precisión CMP-010 5,333 % y 91,2695 / 139,5207 / 222,4747 M€; PI-001 usa redondeo de presentación.</w:t>
            </w:r>
          </w:p>
        </w:tc>
      </w:tr>
    </w:tbl>
    <w:p>
      <w:pPr>
        <w:spacing w:after="40"/>
      </w:pPr>
    </w:p>
    <w:p>
      <w:pPr>
        <w:pStyle w:val="Heading1"/>
      </w:pPr>
      <w:r>
        <w:rPr>
          <w:rFonts w:ascii="Calibri" w:hAnsi="Calibri"/>
        </w:rPr>
        <w:t>4. La travesía ciudadana de Graus</w:t>
      </w:r>
    </w:p>
    <w:p>
      <w:r>
        <w:rPr>
          <w:rFonts w:ascii="Calibri" w:hAnsi="Calibri"/>
        </w:rPr>
        <w:t>La travesía no se entiende como un residuo de la variante, sino como una segunda transformación ligada a ella. Si el tráfico de paso se desvía hacia un corredor exterior, la carretera actual puede volver a cumplir una función urbana: acceso local, comercio, paseo, encuentro y movilidad de proximidad.</w:t>
      </w:r>
    </w:p>
    <w:p>
      <w:pPr>
        <w:pStyle w:val="Heading2"/>
      </w:pPr>
      <w:r>
        <w:rPr>
          <w:rFonts w:ascii="Calibri" w:hAnsi="Calibri"/>
        </w:rPr>
        <w:t>4.1 Esquema funcional de trabajo</w:t>
      </w:r>
    </w:p>
    <w:p>
      <w:pPr>
        <w:spacing w:after="80" w:line="290" w:lineRule="auto"/>
        <w:ind w:left="369" w:hanging="255"/>
      </w:pPr>
      <w:r>
        <w:rPr>
          <w:rFonts w:ascii="Calibri" w:hAnsi="Calibri"/>
          <w:b/>
          <w:color w:val="007E69"/>
          <w:sz w:val="22"/>
        </w:rPr>
        <w:t xml:space="preserve">•  </w:t>
      </w:r>
      <w:r>
        <w:rPr>
          <w:rFonts w:ascii="Calibri" w:hAnsi="Calibri"/>
          <w:color w:val="173B4D"/>
          <w:sz w:val="22"/>
        </w:rPr>
        <w:t>Mantener el enlace P1 y la rotonda existente como pieza de distribución, condicionada a verificación funcional.</w:t>
      </w:r>
    </w:p>
    <w:p>
      <w:pPr>
        <w:spacing w:after="80" w:line="290" w:lineRule="auto"/>
        <w:ind w:left="369" w:hanging="255"/>
      </w:pPr>
      <w:r>
        <w:rPr>
          <w:rFonts w:ascii="Calibri" w:hAnsi="Calibri"/>
          <w:b/>
          <w:color w:val="007E69"/>
          <w:sz w:val="22"/>
        </w:rPr>
        <w:t xml:space="preserve">•  </w:t>
      </w:r>
      <w:r>
        <w:rPr>
          <w:rFonts w:ascii="Calibri" w:hAnsi="Calibri"/>
          <w:color w:val="173B4D"/>
          <w:sz w:val="22"/>
        </w:rPr>
        <w:t>Estudiar un carril de subida por el Paseo del Ésera y un carril de bajada por la carretera actual, con los tramos de doble sentido que exija la conectividad local.</w:t>
      </w:r>
    </w:p>
    <w:p>
      <w:pPr>
        <w:spacing w:after="80" w:line="290" w:lineRule="auto"/>
        <w:ind w:left="369" w:hanging="255"/>
      </w:pPr>
      <w:r>
        <w:rPr>
          <w:rFonts w:ascii="Calibri" w:hAnsi="Calibri"/>
          <w:b/>
          <w:color w:val="007E69"/>
          <w:sz w:val="22"/>
        </w:rPr>
        <w:t xml:space="preserve">•  </w:t>
      </w:r>
      <w:r>
        <w:rPr>
          <w:rFonts w:ascii="Calibri" w:hAnsi="Calibri"/>
          <w:color w:val="173B4D"/>
          <w:sz w:val="22"/>
        </w:rPr>
        <w:t>Garantizar acceso de residentes, comercio, carga y descarga, movilidad reducida, emergencias, recogidas y servicios urbanos antes de cerrar ninguna sección.</w:t>
      </w:r>
    </w:p>
    <w:p>
      <w:pPr>
        <w:spacing w:after="80" w:line="290" w:lineRule="auto"/>
        <w:ind w:left="369" w:hanging="255"/>
      </w:pPr>
      <w:r>
        <w:rPr>
          <w:rFonts w:ascii="Calibri" w:hAnsi="Calibri"/>
          <w:b/>
          <w:color w:val="007E69"/>
          <w:sz w:val="22"/>
        </w:rPr>
        <w:t xml:space="preserve">•  </w:t>
      </w:r>
      <w:r>
        <w:rPr>
          <w:rFonts w:ascii="Calibri" w:hAnsi="Calibri"/>
          <w:color w:val="173B4D"/>
          <w:sz w:val="22"/>
        </w:rPr>
        <w:t>Priorizar continuidad peatonal, arbolado y sombra, estancias, bancos, pequeños espacios de juego, cruces seguros y una zona escolar reforzada en el entorno del CEIP Joaquín Costa.</w:t>
      </w:r>
    </w:p>
    <w:p>
      <w:pPr>
        <w:spacing w:after="80" w:line="290" w:lineRule="auto"/>
        <w:ind w:left="369" w:hanging="255"/>
      </w:pPr>
      <w:r>
        <w:rPr>
          <w:rFonts w:ascii="Calibri" w:hAnsi="Calibri"/>
          <w:b/>
          <w:color w:val="007E69"/>
          <w:sz w:val="22"/>
        </w:rPr>
        <w:t xml:space="preserve">•  </w:t>
      </w:r>
      <w:r>
        <w:rPr>
          <w:rFonts w:ascii="Calibri" w:hAnsi="Calibri"/>
          <w:color w:val="173B4D"/>
          <w:sz w:val="22"/>
        </w:rPr>
        <w:t>No fijar todavía eliminación o número final de plazas de aparcamiento: primero inventario, rotación, accesibilidad y necesidades de actividad.</w:t>
      </w:r>
    </w:p>
    <w:p>
      <w:pPr>
        <w:pStyle w:val="Heading2"/>
      </w:pPr>
      <w:r>
        <w:rPr>
          <w:rFonts w:ascii="Calibri" w:hAnsi="Calibri"/>
        </w:rPr>
        <w:t>4.2 Resultado que se busca</w:t>
      </w: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UNA CARRETERA QUE VUELVE A FORMAR PARTE DE LA VIDA DE GRAUS</w:t>
            </w:r>
          </w:p>
          <w:p>
            <w:pPr>
              <w:spacing w:after="0" w:line="283" w:lineRule="auto"/>
            </w:pPr>
            <w:r>
              <w:rPr>
                <w:rFonts w:ascii="Calibri" w:hAnsi="Calibri"/>
                <w:color w:val="173B4D"/>
                <w:sz w:val="20"/>
              </w:rPr>
              <w:t>La intervención debe mejorar la experiencia diaria de quien camina, compra, reparte, acompaña a menores, tiene movilidad reducida o vive junto a la vía. La circulación local seguirá existiendo, pero dejará de ser la única lógica que ordena el espacio.</w:t>
            </w:r>
          </w:p>
        </w:tc>
      </w:tr>
    </w:tbl>
    <w:p>
      <w:pPr>
        <w:spacing w:after="20"/>
      </w:pPr>
    </w:p>
    <w:p>
      <w:pPr>
        <w:pStyle w:val="Heading2"/>
      </w:pPr>
      <w:r>
        <w:rPr>
          <w:rFonts w:ascii="Calibri" w:hAnsi="Calibri"/>
        </w:rPr>
        <w:t>4.3 Visualizaciones y comunicación</w:t>
      </w:r>
    </w:p>
    <w:p>
      <w:r>
        <w:rPr>
          <w:rFonts w:ascii="Calibri" w:hAnsi="Calibri"/>
        </w:rPr>
        <w:t>Las visualizaciones realistas creadas para las conexiones norte y para la travesía son herramientas de diálogo. Deben mantenerse vinculadas a su versión y a una nota explícita: representan escenarios conceptuales, no soluciones construibles cerradas. Su función es hacer comprensible la intención urbana y territorial, nunca sustituir los estudios de detalle.</w:t>
      </w:r>
    </w:p>
    <w:p>
      <w:pPr>
        <w:pStyle w:val="Heading1"/>
      </w:pPr>
      <w:r>
        <w:rPr>
          <w:rFonts w:ascii="Calibri" w:hAnsi="Calibri"/>
        </w:rPr>
        <w:t>5. Evidencias, fuentes y estado de los estudios</w:t>
      </w:r>
    </w:p>
    <w:p>
      <w:r>
        <w:rPr>
          <w:rFonts w:ascii="Calibri" w:hAnsi="Calibri"/>
        </w:rPr>
        <w:t>El proyecto ya cuenta con una base documental y visual relevante. La siguiente fase debe convertirla en una matriz única de evidencia, indicando fuente, fecha, escala, condición de uso, ámbito y necesidad de contraste.</w:t>
      </w:r>
    </w:p>
    <w:tbl>
      <w:tblPr>
        <w:tblW w:type="auto" w:w="0"/>
        <w:tblLook w:firstColumn="1" w:firstRow="1" w:lastColumn="0" w:lastRow="0" w:noHBand="0" w:noVBand="1" w:val="04A0"/>
        <w:jc w:val="center"/>
        <w:tblLayout w:type="fixed"/>
      </w:tblPr>
      <w:tblGrid>
        <w:gridCol w:w="1927"/>
        <w:gridCol w:w="4592"/>
        <w:gridCol w:w="3118"/>
      </w:tblGrid>
      <w:tr>
        <w:trPr>
          <w:tblHeader w:val="true"/>
        </w:trPr>
        <w:tc>
          <w:tcPr>
            <w:tcW w:type="dxa" w:w="1927"/>
            <w:shd w:fill="123E4C"/>
            <w:tcMar>
              <w:top w:w="90" w:type="dxa"/>
              <w:start w:w="120" w:type="dxa"/>
              <w:bottom w:w="90" w:type="dxa"/>
              <w:end w:w="120" w:type="dxa"/>
            </w:tcMar>
            <w:vAlign w:val="center"/>
          </w:tcPr>
          <w:p>
            <w:pPr>
              <w:spacing w:after="0"/>
            </w:pPr>
            <w:r>
              <w:rPr>
                <w:rFonts w:ascii="Calibri" w:hAnsi="Calibri"/>
                <w:b/>
                <w:color w:val="FFFFFF"/>
                <w:sz w:val="17"/>
              </w:rPr>
              <w:t>Bloque</w:t>
            </w:r>
          </w:p>
        </w:tc>
        <w:tc>
          <w:tcPr>
            <w:tcW w:type="dxa" w:w="4592"/>
            <w:shd w:fill="123E4C"/>
            <w:tcMar>
              <w:top w:w="90" w:type="dxa"/>
              <w:start w:w="120" w:type="dxa"/>
              <w:bottom w:w="90" w:type="dxa"/>
              <w:end w:w="120" w:type="dxa"/>
            </w:tcMar>
            <w:vAlign w:val="center"/>
          </w:tcPr>
          <w:p>
            <w:pPr>
              <w:spacing w:after="0"/>
            </w:pPr>
            <w:r>
              <w:rPr>
                <w:rFonts w:ascii="Calibri" w:hAnsi="Calibri"/>
                <w:b/>
                <w:color w:val="FFFFFF"/>
                <w:sz w:val="17"/>
              </w:rPr>
              <w:t>Base disponible</w:t>
            </w:r>
          </w:p>
        </w:tc>
        <w:tc>
          <w:tcPr>
            <w:tcW w:type="dxa" w:w="3118"/>
            <w:shd w:fill="123E4C"/>
            <w:tcMar>
              <w:top w:w="90" w:type="dxa"/>
              <w:start w:w="120" w:type="dxa"/>
              <w:bottom w:w="90" w:type="dxa"/>
              <w:end w:w="120" w:type="dxa"/>
            </w:tcMar>
            <w:vAlign w:val="center"/>
          </w:tcPr>
          <w:p>
            <w:pPr>
              <w:spacing w:after="0"/>
            </w:pPr>
            <w:r>
              <w:rPr>
                <w:rFonts w:ascii="Calibri" w:hAnsi="Calibri"/>
                <w:b/>
                <w:color w:val="FFFFFF"/>
                <w:sz w:val="17"/>
              </w:rPr>
              <w:t>Siguiente verificación</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Cartografía y territorio</w:t>
            </w:r>
          </w:p>
        </w:tc>
        <w:tc>
          <w:tcPr>
            <w:tcW w:type="dxa" w:w="4592"/>
            <w:tcMar>
              <w:top w:w="90" w:type="dxa"/>
              <w:start w:w="120" w:type="dxa"/>
              <w:bottom w:w="90" w:type="dxa"/>
              <w:end w:w="120" w:type="dxa"/>
            </w:tcMar>
            <w:vAlign w:val="top"/>
          </w:tcPr>
          <w:p>
            <w:pPr>
              <w:spacing w:after="40" w:line="264" w:lineRule="auto"/>
            </w:pPr>
            <w:r>
              <w:rPr>
                <w:rFonts w:ascii="Calibri" w:hAnsi="Calibri"/>
                <w:color w:val="173B4D"/>
                <w:sz w:val="17"/>
              </w:rPr>
              <w:t>Cartografía de referencia, ortofoto, modelo de terreno, capas viarias y trabajo SIG preliminar.</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Topografía específica, límites de propiedad y contraste en campo.</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Alternativas</w:t>
            </w:r>
          </w:p>
        </w:tc>
        <w:tc>
          <w:tcPr>
            <w:tcW w:type="dxa" w:w="4592"/>
            <w:tcMar>
              <w:top w:w="90" w:type="dxa"/>
              <w:start w:w="120" w:type="dxa"/>
              <w:bottom w:w="90" w:type="dxa"/>
              <w:end w:w="120" w:type="dxa"/>
            </w:tcMar>
            <w:vAlign w:val="top"/>
            <w:shd w:fill="F7FAF9"/>
          </w:tcPr>
          <w:p>
            <w:pPr>
              <w:spacing w:after="40" w:line="264" w:lineRule="auto"/>
            </w:pPr>
            <w:r>
              <w:rPr>
                <w:rFonts w:ascii="Calibri" w:hAnsi="Calibri"/>
                <w:color w:val="173B4D"/>
                <w:sz w:val="17"/>
              </w:rPr>
              <w:t>Corredores conceptuales, perfiles preliminares y material comparativo.</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Anteproyecto de alternativas con geometría, rasante, drenaje y estructuras.</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Túnel / Oeste</w:t>
            </w:r>
          </w:p>
        </w:tc>
        <w:tc>
          <w:tcPr>
            <w:tcW w:type="dxa" w:w="4592"/>
            <w:tcMar>
              <w:top w:w="90" w:type="dxa"/>
              <w:start w:w="120" w:type="dxa"/>
              <w:bottom w:w="90" w:type="dxa"/>
              <w:end w:w="120" w:type="dxa"/>
            </w:tcMar>
            <w:vAlign w:val="top"/>
          </w:tcPr>
          <w:p>
            <w:pPr>
              <w:spacing w:after="40" w:line="264" w:lineRule="auto"/>
            </w:pPr>
            <w:r>
              <w:rPr>
                <w:rFonts w:ascii="Calibri" w:hAnsi="Calibri"/>
                <w:color w:val="173B4D"/>
                <w:sz w:val="17"/>
              </w:rPr>
              <w:t>Estimación conceptual y visualizaciones de portales y conexiones.</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Campaña geotécnica e hidrogeológica; seguridad y operación de túnel.</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Este / cruce estructural</w:t>
            </w:r>
          </w:p>
        </w:tc>
        <w:tc>
          <w:tcPr>
            <w:tcW w:type="dxa" w:w="4592"/>
            <w:tcMar>
              <w:top w:w="90" w:type="dxa"/>
              <w:start w:w="120" w:type="dxa"/>
              <w:bottom w:w="90" w:type="dxa"/>
              <w:end w:w="120" w:type="dxa"/>
            </w:tcMar>
            <w:vAlign w:val="top"/>
            <w:shd w:fill="F7FAF9"/>
          </w:tcPr>
          <w:p>
            <w:pPr>
              <w:spacing w:after="40" w:line="264" w:lineRule="auto"/>
            </w:pPr>
            <w:r>
              <w:rPr>
                <w:rFonts w:ascii="Calibri" w:hAnsi="Calibri"/>
                <w:color w:val="173B4D"/>
                <w:sz w:val="17"/>
              </w:rPr>
              <w:t>Eje E6b, perfiles de rasante, hipótesis de viaducto y presupuesto paramétrico.</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Hidráulica, estructuras, paisaje, afección parcelaria y patrimonio.</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Travesía</w:t>
            </w:r>
          </w:p>
        </w:tc>
        <w:tc>
          <w:tcPr>
            <w:tcW w:type="dxa" w:w="4592"/>
            <w:tcMar>
              <w:top w:w="90" w:type="dxa"/>
              <w:start w:w="120" w:type="dxa"/>
              <w:bottom w:w="90" w:type="dxa"/>
              <w:end w:w="120" w:type="dxa"/>
            </w:tcMar>
            <w:vAlign w:val="top"/>
          </w:tcPr>
          <w:p>
            <w:pPr>
              <w:spacing w:after="40" w:line="264" w:lineRule="auto"/>
            </w:pPr>
            <w:r>
              <w:rPr>
                <w:rFonts w:ascii="Calibri" w:hAnsi="Calibri"/>
                <w:color w:val="173B4D"/>
                <w:sz w:val="17"/>
              </w:rPr>
              <w:t>Diagnóstico de intención y visualizaciones de transformación urbana.</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Aforos, inventario de aparcamiento, carga/descarga, accesibilidad y participación.</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Economía</w:t>
            </w:r>
          </w:p>
        </w:tc>
        <w:tc>
          <w:tcPr>
            <w:tcW w:type="dxa" w:w="4592"/>
            <w:tcMar>
              <w:top w:w="90" w:type="dxa"/>
              <w:start w:w="120" w:type="dxa"/>
              <w:bottom w:w="90" w:type="dxa"/>
              <w:end w:w="120" w:type="dxa"/>
            </w:tcMar>
            <w:vAlign w:val="top"/>
            <w:shd w:fill="F7FAF9"/>
          </w:tcPr>
          <w:p>
            <w:pPr>
              <w:spacing w:after="40" w:line="264" w:lineRule="auto"/>
            </w:pPr>
            <w:r>
              <w:rPr>
                <w:rFonts w:ascii="Calibri" w:hAnsi="Calibri"/>
                <w:color w:val="173B4D"/>
                <w:sz w:val="17"/>
              </w:rPr>
              <w:t>Bandas conceptuales comparables: Oeste 172,5/264,0/412,9 M€; Este 91,3/139,5/222,5 M€.</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Anteproyecto y ciclo de vida con base homogénea; no sustituir los modelos actuales por cifras históricas.</w:t>
            </w:r>
          </w:p>
        </w:tc>
      </w:tr>
    </w:tbl>
    <w:p>
      <w:pPr>
        <w:spacing w:after="40"/>
      </w:pPr>
    </w:p>
    <w:p>
      <w:pPr>
        <w:pStyle w:val="Heading2"/>
      </w:pPr>
      <w:r>
        <w:rPr>
          <w:rFonts w:ascii="Calibri" w:hAnsi="Calibri"/>
        </w:rPr>
        <w:t>5.1 Registro mínimo de fuentes técnicas vigentes</w:t>
      </w:r>
    </w:p>
    <w:tbl>
      <w:tblPr>
        <w:tblW w:type="auto" w:w="0"/>
        <w:tblLook w:firstColumn="1" w:firstRow="1" w:lastColumn="0" w:lastRow="0" w:noHBand="0" w:noVBand="1" w:val="04A0"/>
        <w:jc w:val="center"/>
        <w:tblLayout w:type="fixed"/>
      </w:tblPr>
      <w:tblGrid>
        <w:gridCol w:w="2834"/>
        <w:gridCol w:w="3685"/>
        <w:gridCol w:w="3118"/>
      </w:tblGrid>
      <w:tr>
        <w:trPr>
          <w:tblHeader w:val="true"/>
        </w:trPr>
        <w:tc>
          <w:tcPr>
            <w:tcW w:type="dxa" w:w="2834"/>
            <w:shd w:fill="123E4C"/>
            <w:tcMar>
              <w:top w:w="90" w:type="dxa"/>
              <w:start w:w="120" w:type="dxa"/>
              <w:bottom w:w="90" w:type="dxa"/>
              <w:end w:w="120" w:type="dxa"/>
            </w:tcMar>
            <w:vAlign w:val="center"/>
          </w:tcPr>
          <w:p>
            <w:pPr>
              <w:spacing w:after="0"/>
            </w:pPr>
            <w:r>
              <w:rPr>
                <w:rFonts w:ascii="Calibri" w:hAnsi="Calibri"/>
                <w:b/>
                <w:color w:val="FFFFFF"/>
                <w:sz w:val="17"/>
              </w:rPr>
              <w:t>Referencia</w:t>
            </w:r>
          </w:p>
        </w:tc>
        <w:tc>
          <w:tcPr>
            <w:tcW w:type="dxa" w:w="3685"/>
            <w:shd w:fill="123E4C"/>
            <w:tcMar>
              <w:top w:w="90" w:type="dxa"/>
              <w:start w:w="120" w:type="dxa"/>
              <w:bottom w:w="90" w:type="dxa"/>
              <w:end w:w="120" w:type="dxa"/>
            </w:tcMar>
            <w:vAlign w:val="center"/>
          </w:tcPr>
          <w:p>
            <w:pPr>
              <w:spacing w:after="0"/>
            </w:pPr>
            <w:r>
              <w:rPr>
                <w:rFonts w:ascii="Calibri" w:hAnsi="Calibri"/>
                <w:b/>
                <w:color w:val="FFFFFF"/>
                <w:sz w:val="17"/>
              </w:rPr>
              <w:t>Alcance que fija</w:t>
            </w:r>
          </w:p>
        </w:tc>
        <w:tc>
          <w:tcPr>
            <w:tcW w:type="dxa" w:w="3118"/>
            <w:shd w:fill="123E4C"/>
            <w:tcMar>
              <w:top w:w="90" w:type="dxa"/>
              <w:start w:w="120" w:type="dxa"/>
              <w:bottom w:w="90" w:type="dxa"/>
              <w:end w:w="120" w:type="dxa"/>
            </w:tcMar>
            <w:vAlign w:val="center"/>
          </w:tcPr>
          <w:p>
            <w:pPr>
              <w:spacing w:after="0"/>
            </w:pPr>
            <w:r>
              <w:rPr>
                <w:rFonts w:ascii="Calibri" w:hAnsi="Calibri"/>
                <w:b/>
                <w:color w:val="FFFFFF"/>
                <w:sz w:val="17"/>
              </w:rPr>
              <w:t>Uso en este documento</w:t>
            </w:r>
          </w:p>
        </w:tc>
      </w:tr>
      <w:tr>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PE2050-C1-CMP-011 v0.3 · Informe Ejecutivo Comparativo Oeste–Este</w:t>
            </w:r>
          </w:p>
        </w:tc>
        <w:tc>
          <w:tcPr>
            <w:tcW w:type="dxa" w:w="3685"/>
            <w:tcMar>
              <w:top w:w="90" w:type="dxa"/>
              <w:start w:w="120" w:type="dxa"/>
              <w:bottom w:w="90" w:type="dxa"/>
              <w:end w:w="120" w:type="dxa"/>
            </w:tcMar>
            <w:vAlign w:val="top"/>
          </w:tcPr>
          <w:p>
            <w:pPr>
              <w:spacing w:after="40" w:line="264" w:lineRule="auto"/>
            </w:pPr>
            <w:r>
              <w:rPr>
                <w:rFonts w:ascii="Calibri" w:hAnsi="Calibri"/>
                <w:color w:val="173B4D"/>
                <w:sz w:val="17"/>
              </w:rPr>
              <w:t>Par de alternativas, parámetros técnicos, bandas económicas, criterios y cautelas.</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Fuente comparativa principal vigente.</w:t>
            </w:r>
          </w:p>
        </w:tc>
      </w:tr>
      <w:tr>
        <w:tc>
          <w:tcPr>
            <w:tcW w:type="dxa" w:w="2834"/>
            <w:tcMar>
              <w:top w:w="90" w:type="dxa"/>
              <w:start w:w="120" w:type="dxa"/>
              <w:bottom w:w="90" w:type="dxa"/>
              <w:end w:w="120" w:type="dxa"/>
            </w:tcMar>
            <w:vAlign w:val="top"/>
            <w:shd w:fill="F7FAF9"/>
          </w:tcPr>
          <w:p>
            <w:pPr>
              <w:spacing w:after="40" w:line="264" w:lineRule="auto"/>
            </w:pPr>
            <w:r>
              <w:rPr>
                <w:rFonts w:ascii="Calibri" w:hAnsi="Calibri"/>
                <w:color w:val="173B4D"/>
                <w:sz w:val="17"/>
              </w:rPr>
              <w:t>PE2050-C1-CMP-010 v0.3 · Matriz Comparativa Oeste–Este</w:t>
            </w:r>
          </w:p>
        </w:tc>
        <w:tc>
          <w:tcPr>
            <w:tcW w:type="dxa" w:w="3685"/>
            <w:tcMar>
              <w:top w:w="90" w:type="dxa"/>
              <w:start w:w="120" w:type="dxa"/>
              <w:bottom w:w="90" w:type="dxa"/>
              <w:end w:w="120" w:type="dxa"/>
            </w:tcMar>
            <w:vAlign w:val="top"/>
            <w:shd w:fill="F7FAF9"/>
          </w:tcPr>
          <w:p>
            <w:pPr>
              <w:spacing w:after="40" w:line="264" w:lineRule="auto"/>
            </w:pPr>
            <w:r>
              <w:rPr>
                <w:rFonts w:ascii="Calibri" w:hAnsi="Calibri"/>
                <w:color w:val="173B4D"/>
                <w:sz w:val="17"/>
              </w:rPr>
              <w:t>Valores con precisión de cálculo, fuentes y estado de confianza.</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Trazabilidad de longitudes, pendientes, costes y riesgos.</w:t>
            </w:r>
          </w:p>
        </w:tc>
      </w:tr>
      <w:tr>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PE2050-C1-PI-001 v2.2 · Presentación Variantes y Travesía</w:t>
            </w:r>
          </w:p>
        </w:tc>
        <w:tc>
          <w:tcPr>
            <w:tcW w:type="dxa" w:w="3685"/>
            <w:tcMar>
              <w:top w:w="90" w:type="dxa"/>
              <w:start w:w="120" w:type="dxa"/>
              <w:bottom w:w="90" w:type="dxa"/>
              <w:end w:w="120" w:type="dxa"/>
            </w:tcMar>
            <w:vAlign w:val="top"/>
          </w:tcPr>
          <w:p>
            <w:pPr>
              <w:spacing w:after="40" w:line="264" w:lineRule="auto"/>
            </w:pPr>
            <w:r>
              <w:rPr>
                <w:rFonts w:ascii="Calibri" w:hAnsi="Calibri"/>
                <w:color w:val="173B4D"/>
                <w:sz w:val="17"/>
              </w:rPr>
              <w:t>Síntesis pública de trabajo más reciente: Oeste/Este, perfiles y mensajes de decisión.</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Comprobación de coherencia de comunicación.</w:t>
            </w:r>
          </w:p>
        </w:tc>
      </w:tr>
    </w:tbl>
    <w:p>
      <w:pPr>
        <w:spacing w:after="40"/>
      </w:pPr>
    </w:p>
    <w:p>
      <w:pPr>
        <w:pStyle w:val="Heading2"/>
      </w:pPr>
      <w:r>
        <w:rPr>
          <w:rFonts w:ascii="Calibri" w:hAnsi="Calibri"/>
        </w:rPr>
        <w:t>5.2 Fuentes institucionales a consolidar</w:t>
      </w:r>
    </w:p>
    <w:p>
      <w:r>
        <w:rPr>
          <w:rFonts w:ascii="Calibri" w:hAnsi="Calibri"/>
        </w:rPr>
        <w:t>La matriz de fuentes debe priorizar organismos oficiales y documentación verificable: Instituto Geográfico Nacional / CNIG, IDEAragón, Catastro, órganos de carreteras, Confederación Hidrográfica del Ebro, administraciones ambientales y patrimoniales, planeamiento municipal y series públicas de tráfico cuando estén disponibles. Cualquier dato local o testimonio se registrará como conocimiento de campo y se distinguirá de una fuente oficial.</w:t>
      </w:r>
    </w:p>
    <w:p>
      <w:pPr>
        <w:pStyle w:val="Heading1"/>
      </w:pPr>
      <w:r>
        <w:rPr>
          <w:rFonts w:ascii="Calibri" w:hAnsi="Calibri"/>
        </w:rPr>
        <w:t>6. Gobierno documental y control de calidad</w:t>
      </w:r>
    </w:p>
    <w:p>
      <w:r>
        <w:rPr>
          <w:rFonts w:ascii="Calibri" w:hAnsi="Calibri"/>
        </w:rPr>
        <w:t>La calidad del proyecto depende tanto del contenido como de la capacidad de saber de dónde procede cada afirmación. La carpeta maestra y los productos de difusión deben compartir la misma nomenclatura, versión y estado.</w:t>
      </w:r>
    </w:p>
    <w:p>
      <w:pPr>
        <w:pStyle w:val="Heading2"/>
      </w:pPr>
      <w:r>
        <w:rPr>
          <w:rFonts w:ascii="Calibri" w:hAnsi="Calibri"/>
        </w:rPr>
        <w:t>6.1 Convención documental</w:t>
      </w: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FORMATO DE NOMBRE</w:t>
            </w:r>
          </w:p>
          <w:p>
            <w:pPr>
              <w:spacing w:after="0" w:line="283" w:lineRule="auto"/>
            </w:pPr>
            <w:r>
              <w:rPr>
                <w:rFonts w:ascii="Calibri" w:hAnsi="Calibri"/>
                <w:color w:val="173B4D"/>
                <w:sz w:val="20"/>
              </w:rPr>
              <w:t>PE2050-C1-[DISCIPLINA]-[NNN]_[Nombre]_vX.Y_[ESTADO]. Ejemplo: PE2050-C1-DM-001_Documento-Maestro_v1.1_PARA-REVISION.docx</w:t>
            </w:r>
          </w:p>
        </w:tc>
      </w:tr>
    </w:tbl>
    <w:p>
      <w:pPr>
        <w:spacing w:after="20"/>
      </w:pPr>
    </w:p>
    <w:tbl>
      <w:tblPr>
        <w:tblW w:type="auto" w:w="0"/>
        <w:tblLook w:firstColumn="1" w:firstRow="1" w:lastColumn="0" w:lastRow="0" w:noHBand="0" w:noVBand="1" w:val="04A0"/>
        <w:jc w:val="center"/>
        <w:tblLayout w:type="fixed"/>
      </w:tblPr>
      <w:tblGrid>
        <w:gridCol w:w="2437"/>
        <w:gridCol w:w="7200"/>
      </w:tblGrid>
      <w:tr>
        <w:trPr>
          <w:tblHeader w:val="true"/>
        </w:trPr>
        <w:tc>
          <w:tcPr>
            <w:tcW w:type="dxa" w:w="2437"/>
            <w:shd w:fill="123E4C"/>
            <w:tcMar>
              <w:top w:w="90" w:type="dxa"/>
              <w:start w:w="120" w:type="dxa"/>
              <w:bottom w:w="90" w:type="dxa"/>
              <w:end w:w="120" w:type="dxa"/>
            </w:tcMar>
            <w:vAlign w:val="center"/>
          </w:tcPr>
          <w:p>
            <w:pPr>
              <w:spacing w:after="0"/>
            </w:pPr>
            <w:r>
              <w:rPr>
                <w:rFonts w:ascii="Calibri" w:hAnsi="Calibri"/>
                <w:b/>
                <w:color w:val="FFFFFF"/>
                <w:sz w:val="17"/>
              </w:rPr>
              <w:t>Estado</w:t>
            </w:r>
          </w:p>
        </w:tc>
        <w:tc>
          <w:tcPr>
            <w:tcW w:type="dxa" w:w="7200"/>
            <w:shd w:fill="123E4C"/>
            <w:tcMar>
              <w:top w:w="90" w:type="dxa"/>
              <w:start w:w="120" w:type="dxa"/>
              <w:bottom w:w="90" w:type="dxa"/>
              <w:end w:w="120" w:type="dxa"/>
            </w:tcMar>
            <w:vAlign w:val="center"/>
          </w:tcPr>
          <w:p>
            <w:pPr>
              <w:spacing w:after="0"/>
            </w:pPr>
            <w:r>
              <w:rPr>
                <w:rFonts w:ascii="Calibri" w:hAnsi="Calibri"/>
                <w:b/>
                <w:color w:val="FFFFFF"/>
                <w:sz w:val="17"/>
              </w:rPr>
              <w:t>Uso</w:t>
            </w:r>
          </w:p>
        </w:tc>
      </w:tr>
      <w:tr>
        <w:tc>
          <w:tcPr>
            <w:tcW w:type="dxa" w:w="2437"/>
            <w:tcMar>
              <w:top w:w="90" w:type="dxa"/>
              <w:start w:w="120" w:type="dxa"/>
              <w:bottom w:w="90" w:type="dxa"/>
              <w:end w:w="120" w:type="dxa"/>
            </w:tcMar>
            <w:vAlign w:val="top"/>
          </w:tcPr>
          <w:p>
            <w:pPr>
              <w:spacing w:after="40" w:line="264" w:lineRule="auto"/>
            </w:pPr>
            <w:r>
              <w:rPr>
                <w:rFonts w:ascii="Calibri" w:hAnsi="Calibri"/>
                <w:color w:val="173B4D"/>
                <w:sz w:val="17"/>
              </w:rPr>
              <w:t>TRABAJO-INTERNO</w:t>
            </w:r>
          </w:p>
        </w:tc>
        <w:tc>
          <w:tcPr>
            <w:tcW w:type="dxa" w:w="7200"/>
            <w:tcMar>
              <w:top w:w="90" w:type="dxa"/>
              <w:start w:w="120" w:type="dxa"/>
              <w:bottom w:w="90" w:type="dxa"/>
              <w:end w:w="120" w:type="dxa"/>
            </w:tcMar>
            <w:vAlign w:val="top"/>
          </w:tcPr>
          <w:p>
            <w:pPr>
              <w:spacing w:after="40" w:line="264" w:lineRule="auto"/>
            </w:pPr>
            <w:r>
              <w:rPr>
                <w:rFonts w:ascii="Calibri" w:hAnsi="Calibri"/>
                <w:color w:val="173B4D"/>
                <w:sz w:val="17"/>
              </w:rPr>
              <w:t>Material de exploración no apto para difusión.</w:t>
            </w:r>
          </w:p>
        </w:tc>
      </w:tr>
      <w:tr>
        <w:tc>
          <w:tcPr>
            <w:tcW w:type="dxa" w:w="2437"/>
            <w:tcMar>
              <w:top w:w="90" w:type="dxa"/>
              <w:start w:w="120" w:type="dxa"/>
              <w:bottom w:w="90" w:type="dxa"/>
              <w:end w:w="120" w:type="dxa"/>
            </w:tcMar>
            <w:vAlign w:val="top"/>
            <w:shd w:fill="F7FAF9"/>
          </w:tcPr>
          <w:p>
            <w:pPr>
              <w:spacing w:after="40" w:line="264" w:lineRule="auto"/>
            </w:pPr>
            <w:r>
              <w:rPr>
                <w:rFonts w:ascii="Calibri" w:hAnsi="Calibri"/>
                <w:color w:val="173B4D"/>
                <w:sz w:val="17"/>
              </w:rPr>
              <w:t>BORRADOR</w:t>
            </w:r>
          </w:p>
        </w:tc>
        <w:tc>
          <w:tcPr>
            <w:tcW w:type="dxa" w:w="7200"/>
            <w:tcMar>
              <w:top w:w="90" w:type="dxa"/>
              <w:start w:w="120" w:type="dxa"/>
              <w:bottom w:w="90" w:type="dxa"/>
              <w:end w:w="120" w:type="dxa"/>
            </w:tcMar>
            <w:vAlign w:val="top"/>
            <w:shd w:fill="F7FAF9"/>
          </w:tcPr>
          <w:p>
            <w:pPr>
              <w:spacing w:after="40" w:line="264" w:lineRule="auto"/>
            </w:pPr>
            <w:r>
              <w:rPr>
                <w:rFonts w:ascii="Calibri" w:hAnsi="Calibri"/>
                <w:color w:val="173B4D"/>
                <w:sz w:val="17"/>
              </w:rPr>
              <w:t>Contenido en desarrollo, pendiente de contraste o revisión.</w:t>
            </w:r>
          </w:p>
        </w:tc>
      </w:tr>
      <w:tr>
        <w:tc>
          <w:tcPr>
            <w:tcW w:type="dxa" w:w="2437"/>
            <w:tcMar>
              <w:top w:w="90" w:type="dxa"/>
              <w:start w:w="120" w:type="dxa"/>
              <w:bottom w:w="90" w:type="dxa"/>
              <w:end w:w="120" w:type="dxa"/>
            </w:tcMar>
            <w:vAlign w:val="top"/>
          </w:tcPr>
          <w:p>
            <w:pPr>
              <w:spacing w:after="40" w:line="264" w:lineRule="auto"/>
            </w:pPr>
            <w:r>
              <w:rPr>
                <w:rFonts w:ascii="Calibri" w:hAnsi="Calibri"/>
                <w:color w:val="173B4D"/>
                <w:sz w:val="17"/>
              </w:rPr>
              <w:t>PARA-REVISION</w:t>
            </w:r>
          </w:p>
        </w:tc>
        <w:tc>
          <w:tcPr>
            <w:tcW w:type="dxa" w:w="7200"/>
            <w:tcMar>
              <w:top w:w="90" w:type="dxa"/>
              <w:start w:w="120" w:type="dxa"/>
              <w:bottom w:w="90" w:type="dxa"/>
              <w:end w:w="120" w:type="dxa"/>
            </w:tcMar>
            <w:vAlign w:val="top"/>
          </w:tcPr>
          <w:p>
            <w:pPr>
              <w:spacing w:after="40" w:line="264" w:lineRule="auto"/>
            </w:pPr>
            <w:r>
              <w:rPr>
                <w:rFonts w:ascii="Calibri" w:hAnsi="Calibri"/>
                <w:color w:val="173B4D"/>
                <w:sz w:val="17"/>
              </w:rPr>
              <w:t>Versión consolidada para lectura y observaciones del promotor.</w:t>
            </w:r>
          </w:p>
        </w:tc>
      </w:tr>
      <w:tr>
        <w:tc>
          <w:tcPr>
            <w:tcW w:type="dxa" w:w="2437"/>
            <w:tcMar>
              <w:top w:w="90" w:type="dxa"/>
              <w:start w:w="120" w:type="dxa"/>
              <w:bottom w:w="90" w:type="dxa"/>
              <w:end w:w="120" w:type="dxa"/>
            </w:tcMar>
            <w:vAlign w:val="top"/>
            <w:shd w:fill="F7FAF9"/>
          </w:tcPr>
          <w:p>
            <w:pPr>
              <w:spacing w:after="40" w:line="264" w:lineRule="auto"/>
            </w:pPr>
            <w:r>
              <w:rPr>
                <w:rFonts w:ascii="Calibri" w:hAnsi="Calibri"/>
                <w:color w:val="173B4D"/>
                <w:sz w:val="17"/>
              </w:rPr>
              <w:t>PARA-FIRMA</w:t>
            </w:r>
          </w:p>
        </w:tc>
        <w:tc>
          <w:tcPr>
            <w:tcW w:type="dxa" w:w="7200"/>
            <w:tcMar>
              <w:top w:w="90" w:type="dxa"/>
              <w:start w:w="120" w:type="dxa"/>
              <w:bottom w:w="90" w:type="dxa"/>
              <w:end w:w="120" w:type="dxa"/>
            </w:tcMar>
            <w:vAlign w:val="top"/>
            <w:shd w:fill="F7FAF9"/>
          </w:tcPr>
          <w:p>
            <w:pPr>
              <w:spacing w:after="40" w:line="264" w:lineRule="auto"/>
            </w:pPr>
            <w:r>
              <w:rPr>
                <w:rFonts w:ascii="Calibri" w:hAnsi="Calibri"/>
                <w:color w:val="173B4D"/>
                <w:sz w:val="17"/>
              </w:rPr>
              <w:t>Versión bloqueada en contenido, pendiente de formalización.</w:t>
            </w:r>
          </w:p>
        </w:tc>
      </w:tr>
      <w:tr>
        <w:tc>
          <w:tcPr>
            <w:tcW w:type="dxa" w:w="2437"/>
            <w:tcMar>
              <w:top w:w="90" w:type="dxa"/>
              <w:start w:w="120" w:type="dxa"/>
              <w:bottom w:w="90" w:type="dxa"/>
              <w:end w:w="120" w:type="dxa"/>
            </w:tcMar>
            <w:vAlign w:val="top"/>
          </w:tcPr>
          <w:p>
            <w:pPr>
              <w:spacing w:after="40" w:line="264" w:lineRule="auto"/>
            </w:pPr>
            <w:r>
              <w:rPr>
                <w:rFonts w:ascii="Calibri" w:hAnsi="Calibri"/>
                <w:color w:val="173B4D"/>
                <w:sz w:val="17"/>
              </w:rPr>
              <w:t>ARCHIVO</w:t>
            </w:r>
          </w:p>
        </w:tc>
        <w:tc>
          <w:tcPr>
            <w:tcW w:type="dxa" w:w="7200"/>
            <w:tcMar>
              <w:top w:w="90" w:type="dxa"/>
              <w:start w:w="120" w:type="dxa"/>
              <w:bottom w:w="90" w:type="dxa"/>
              <w:end w:w="120" w:type="dxa"/>
            </w:tcMar>
            <w:vAlign w:val="top"/>
          </w:tcPr>
          <w:p>
            <w:pPr>
              <w:spacing w:after="40" w:line="264" w:lineRule="auto"/>
            </w:pPr>
            <w:r>
              <w:rPr>
                <w:rFonts w:ascii="Calibri" w:hAnsi="Calibri"/>
                <w:color w:val="173B4D"/>
                <w:sz w:val="17"/>
              </w:rPr>
              <w:t>Versión sustituida; se conserva por trazabilidad, no para uso vigente.</w:t>
            </w:r>
          </w:p>
        </w:tc>
      </w:tr>
    </w:tbl>
    <w:p>
      <w:pPr>
        <w:spacing w:after="40"/>
      </w:pPr>
    </w:p>
    <w:p>
      <w:pPr>
        <w:pStyle w:val="Heading2"/>
      </w:pPr>
      <w:r>
        <w:rPr>
          <w:rFonts w:ascii="Calibri" w:hAnsi="Calibri"/>
        </w:rPr>
        <w:t>6.2 Reglas mínimas antes de publicar</w:t>
      </w:r>
    </w:p>
    <w:p>
      <w:pPr>
        <w:spacing w:after="80" w:line="290" w:lineRule="auto"/>
        <w:ind w:left="369" w:hanging="255"/>
      </w:pPr>
      <w:r>
        <w:rPr>
          <w:rFonts w:ascii="Calibri" w:hAnsi="Calibri"/>
          <w:b/>
          <w:color w:val="007E69"/>
          <w:sz w:val="22"/>
        </w:rPr>
        <w:t xml:space="preserve">•  </w:t>
      </w:r>
      <w:r>
        <w:rPr>
          <w:rFonts w:ascii="Calibri" w:hAnsi="Calibri"/>
          <w:color w:val="173B4D"/>
          <w:sz w:val="22"/>
        </w:rPr>
        <w:t>Comprobar que cada imagen, plano, cifra o visualización tiene fuente, versión y uso permitido.</w:t>
      </w:r>
    </w:p>
    <w:p>
      <w:pPr>
        <w:spacing w:after="80" w:line="290" w:lineRule="auto"/>
        <w:ind w:left="369" w:hanging="255"/>
      </w:pPr>
      <w:r>
        <w:rPr>
          <w:rFonts w:ascii="Calibri" w:hAnsi="Calibri"/>
          <w:b/>
          <w:color w:val="007E69"/>
          <w:sz w:val="22"/>
        </w:rPr>
        <w:t xml:space="preserve">•  </w:t>
      </w:r>
      <w:r>
        <w:rPr>
          <w:rFonts w:ascii="Calibri" w:hAnsi="Calibri"/>
          <w:color w:val="173B4D"/>
          <w:sz w:val="22"/>
        </w:rPr>
        <w:t>Revisar ortografía, nomenclatura, escalas, orientación, unidades, leyendas y coherencia entre texto, plano y visualización.</w:t>
      </w:r>
    </w:p>
    <w:p>
      <w:pPr>
        <w:spacing w:after="80" w:line="290" w:lineRule="auto"/>
        <w:ind w:left="369" w:hanging="255"/>
      </w:pPr>
      <w:r>
        <w:rPr>
          <w:rFonts w:ascii="Calibri" w:hAnsi="Calibri"/>
          <w:b/>
          <w:color w:val="007E69"/>
          <w:sz w:val="22"/>
        </w:rPr>
        <w:t xml:space="preserve">•  </w:t>
      </w:r>
      <w:r>
        <w:rPr>
          <w:rFonts w:ascii="Calibri" w:hAnsi="Calibri"/>
          <w:color w:val="173B4D"/>
          <w:sz w:val="22"/>
        </w:rPr>
        <w:t>Diferenciar explícitamente lo existente, lo proyectado y lo hipotético.</w:t>
      </w:r>
    </w:p>
    <w:p>
      <w:pPr>
        <w:spacing w:after="80" w:line="290" w:lineRule="auto"/>
        <w:ind w:left="369" w:hanging="255"/>
      </w:pPr>
      <w:r>
        <w:rPr>
          <w:rFonts w:ascii="Calibri" w:hAnsi="Calibri"/>
          <w:b/>
          <w:color w:val="007E69"/>
          <w:sz w:val="22"/>
        </w:rPr>
        <w:t xml:space="preserve">•  </w:t>
      </w:r>
      <w:r>
        <w:rPr>
          <w:rFonts w:ascii="Calibri" w:hAnsi="Calibri"/>
          <w:color w:val="173B4D"/>
          <w:sz w:val="22"/>
        </w:rPr>
        <w:t>Realizar una revisión visual del documento exportado antes de entregarlo o publicarlo.</w:t>
      </w:r>
    </w:p>
    <w:p>
      <w:pPr>
        <w:spacing w:after="80" w:line="290" w:lineRule="auto"/>
        <w:ind w:left="369" w:hanging="255"/>
      </w:pPr>
      <w:r>
        <w:rPr>
          <w:rFonts w:ascii="Calibri" w:hAnsi="Calibri"/>
          <w:b/>
          <w:color w:val="007E69"/>
          <w:sz w:val="22"/>
        </w:rPr>
        <w:t xml:space="preserve">•  </w:t>
      </w:r>
      <w:r>
        <w:rPr>
          <w:rFonts w:ascii="Calibri" w:hAnsi="Calibri"/>
          <w:color w:val="173B4D"/>
          <w:sz w:val="22"/>
        </w:rPr>
        <w:t>Mantener copias de entrega separadas del material de trabajo y de los originales de fuente.</w:t>
      </w:r>
    </w:p>
    <w:p>
      <w:pPr>
        <w:pStyle w:val="Heading2"/>
      </w:pPr>
      <w:r>
        <w:rPr>
          <w:rFonts w:ascii="Calibri" w:hAnsi="Calibri"/>
        </w:rPr>
        <w:t>6.3 Estructura concreta de carpetas</w:t>
      </w:r>
    </w:p>
    <w:p>
      <w:r>
        <w:rPr>
          <w:rFonts w:ascii="Calibri" w:hAnsi="Calibri"/>
        </w:rPr>
        <w:t>La estructura vigente del proyecto se mantiene como marco físico de trabajo. No se deben crear árboles paralelos para una misma evidencia: cada bloque tendrá una ubicación principal y los productos de presentación solo referenciarán esa fuente.</w:t>
      </w:r>
    </w:p>
    <w:tbl>
      <w:tblPr>
        <w:tblW w:type="auto" w:w="0"/>
        <w:tblLook w:firstColumn="1" w:firstRow="1" w:lastColumn="0" w:lastRow="0" w:noHBand="0" w:noVBand="1" w:val="04A0"/>
        <w:jc w:val="center"/>
        <w:tblLayout w:type="fixed"/>
      </w:tblPr>
      <w:tblGrid>
        <w:gridCol w:w="1700"/>
        <w:gridCol w:w="3118"/>
        <w:gridCol w:w="4818"/>
      </w:tblGrid>
      <w:tr>
        <w:trPr>
          <w:tblHeader w:val="true"/>
        </w:trPr>
        <w:tc>
          <w:tcPr>
            <w:tcW w:type="dxa" w:w="1700"/>
            <w:shd w:fill="123E4C"/>
            <w:tcMar>
              <w:top w:w="90" w:type="dxa"/>
              <w:start w:w="120" w:type="dxa"/>
              <w:bottom w:w="90" w:type="dxa"/>
              <w:end w:w="120" w:type="dxa"/>
            </w:tcMar>
            <w:vAlign w:val="center"/>
          </w:tcPr>
          <w:p>
            <w:pPr>
              <w:spacing w:after="0"/>
            </w:pPr>
            <w:r>
              <w:rPr>
                <w:rFonts w:ascii="Calibri" w:hAnsi="Calibri"/>
                <w:b/>
                <w:color w:val="FFFFFF"/>
                <w:sz w:val="17"/>
              </w:rPr>
              <w:t>Carpeta</w:t>
            </w:r>
          </w:p>
        </w:tc>
        <w:tc>
          <w:tcPr>
            <w:tcW w:type="dxa" w:w="3118"/>
            <w:shd w:fill="123E4C"/>
            <w:tcMar>
              <w:top w:w="90" w:type="dxa"/>
              <w:start w:w="120" w:type="dxa"/>
              <w:bottom w:w="90" w:type="dxa"/>
              <w:end w:w="120" w:type="dxa"/>
            </w:tcMar>
            <w:vAlign w:val="center"/>
          </w:tcPr>
          <w:p>
            <w:pPr>
              <w:spacing w:after="0"/>
            </w:pPr>
            <w:r>
              <w:rPr>
                <w:rFonts w:ascii="Calibri" w:hAnsi="Calibri"/>
                <w:b/>
                <w:color w:val="FFFFFF"/>
                <w:sz w:val="17"/>
              </w:rPr>
              <w:t>Función operativa</w:t>
            </w:r>
          </w:p>
        </w:tc>
        <w:tc>
          <w:tcPr>
            <w:tcW w:type="dxa" w:w="4818"/>
            <w:shd w:fill="123E4C"/>
            <w:tcMar>
              <w:top w:w="90" w:type="dxa"/>
              <w:start w:w="120" w:type="dxa"/>
              <w:bottom w:w="90" w:type="dxa"/>
              <w:end w:w="120" w:type="dxa"/>
            </w:tcMar>
            <w:vAlign w:val="center"/>
          </w:tcPr>
          <w:p>
            <w:pPr>
              <w:spacing w:after="0"/>
            </w:pPr>
            <w:r>
              <w:rPr>
                <w:rFonts w:ascii="Calibri" w:hAnsi="Calibri"/>
                <w:b/>
                <w:color w:val="FFFFFF"/>
                <w:sz w:val="17"/>
              </w:rPr>
              <w:t>Contenido vigente mínimo</w:t>
            </w:r>
          </w:p>
        </w:tc>
      </w:tr>
      <w:tr>
        <w:tc>
          <w:tcPr>
            <w:tcW w:type="dxa" w:w="1700"/>
            <w:tcMar>
              <w:top w:w="90" w:type="dxa"/>
              <w:start w:w="120" w:type="dxa"/>
              <w:bottom w:w="90" w:type="dxa"/>
              <w:end w:w="120" w:type="dxa"/>
            </w:tcMar>
            <w:vAlign w:val="top"/>
          </w:tcPr>
          <w:p>
            <w:pPr>
              <w:spacing w:after="40" w:line="264" w:lineRule="auto"/>
            </w:pPr>
            <w:r>
              <w:rPr>
                <w:rFonts w:ascii="Calibri" w:hAnsi="Calibri"/>
                <w:color w:val="173B4D"/>
                <w:sz w:val="17"/>
              </w:rPr>
              <w:t>00_EMPEZAR_AQUI</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Gobierno y puerta de entrada del proyecto.</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Documento Maestro, índice general, registros de decisiones/hipótesis/preguntas y matriz única de evidencias.</w:t>
            </w:r>
          </w:p>
        </w:tc>
      </w:tr>
      <w:tr>
        <w:tc>
          <w:tcPr>
            <w:tcW w:type="dxa" w:w="1700"/>
            <w:tcMar>
              <w:top w:w="90" w:type="dxa"/>
              <w:start w:w="120" w:type="dxa"/>
              <w:bottom w:w="90" w:type="dxa"/>
              <w:end w:w="120" w:type="dxa"/>
            </w:tcMar>
            <w:vAlign w:val="top"/>
            <w:shd w:fill="F7FAF9"/>
          </w:tcPr>
          <w:p>
            <w:pPr>
              <w:spacing w:after="40" w:line="264" w:lineRule="auto"/>
            </w:pPr>
            <w:r>
              <w:rPr>
                <w:rFonts w:ascii="Calibri" w:hAnsi="Calibri"/>
                <w:color w:val="173B4D"/>
                <w:sz w:val="17"/>
              </w:rPr>
              <w:t>01_BASE_COMUN</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Datos y métodos compartidos.</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Fuentes oficiales, cartografía, topografía, SIG, tráfico, metodología y control de calidad común.</w:t>
            </w:r>
          </w:p>
        </w:tc>
      </w:tr>
      <w:tr>
        <w:tc>
          <w:tcPr>
            <w:tcW w:type="dxa" w:w="1700"/>
            <w:tcMar>
              <w:top w:w="90" w:type="dxa"/>
              <w:start w:w="120" w:type="dxa"/>
              <w:bottom w:w="90" w:type="dxa"/>
              <w:end w:w="120" w:type="dxa"/>
            </w:tcMar>
            <w:vAlign w:val="top"/>
          </w:tcPr>
          <w:p>
            <w:pPr>
              <w:spacing w:after="40" w:line="264" w:lineRule="auto"/>
            </w:pPr>
            <w:r>
              <w:rPr>
                <w:rFonts w:ascii="Calibri" w:hAnsi="Calibri"/>
                <w:color w:val="173B4D"/>
                <w:sz w:val="17"/>
              </w:rPr>
              <w:t>02_VARIANTES</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Base técnica de alternativas y comparación.</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01_SOLUCION_OESTE, 02_SOLUCION_ESTE, 03_COMPARATIVA; cada documento conserva código, versión y estado.</w:t>
            </w:r>
          </w:p>
        </w:tc>
      </w:tr>
      <w:tr>
        <w:tc>
          <w:tcPr>
            <w:tcW w:type="dxa" w:w="1700"/>
            <w:tcMar>
              <w:top w:w="90" w:type="dxa"/>
              <w:start w:w="120" w:type="dxa"/>
              <w:bottom w:w="90" w:type="dxa"/>
              <w:end w:w="120" w:type="dxa"/>
            </w:tcMar>
            <w:vAlign w:val="top"/>
            <w:shd w:fill="F7FAF9"/>
          </w:tcPr>
          <w:p>
            <w:pPr>
              <w:spacing w:after="40" w:line="264" w:lineRule="auto"/>
            </w:pPr>
            <w:r>
              <w:rPr>
                <w:rFonts w:ascii="Calibri" w:hAnsi="Calibri"/>
                <w:color w:val="173B4D"/>
                <w:sz w:val="17"/>
              </w:rPr>
              <w:t>03_TRAVESIA_CIUDADANA</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Diagnóstico y propuesta de recuperación urbana.</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Movilidad local, accesibilidad, comercio, participación y visualizaciones realistas de la travesía.</w:t>
            </w:r>
          </w:p>
        </w:tc>
      </w:tr>
      <w:tr>
        <w:tc>
          <w:tcPr>
            <w:tcW w:type="dxa" w:w="1700"/>
            <w:tcMar>
              <w:top w:w="90" w:type="dxa"/>
              <w:start w:w="120" w:type="dxa"/>
              <w:bottom w:w="90" w:type="dxa"/>
              <w:end w:w="120" w:type="dxa"/>
            </w:tcMar>
            <w:vAlign w:val="top"/>
          </w:tcPr>
          <w:p>
            <w:pPr>
              <w:spacing w:after="40" w:line="264" w:lineRule="auto"/>
            </w:pPr>
            <w:r>
              <w:rPr>
                <w:rFonts w:ascii="Calibri" w:hAnsi="Calibri"/>
                <w:color w:val="173B4D"/>
                <w:sz w:val="17"/>
              </w:rPr>
              <w:t>04_PRESENTAR_Y_FIRMAR</w:t>
            </w:r>
          </w:p>
        </w:tc>
        <w:tc>
          <w:tcPr>
            <w:tcW w:type="dxa" w:w="3118"/>
            <w:tcMar>
              <w:top w:w="90" w:type="dxa"/>
              <w:start w:w="120" w:type="dxa"/>
              <w:bottom w:w="90" w:type="dxa"/>
              <w:end w:w="120" w:type="dxa"/>
            </w:tcMar>
            <w:vAlign w:val="top"/>
          </w:tcPr>
          <w:p>
            <w:pPr>
              <w:spacing w:after="40" w:line="264" w:lineRule="auto"/>
            </w:pPr>
            <w:r>
              <w:rPr>
                <w:rFonts w:ascii="Calibri" w:hAnsi="Calibri"/>
                <w:color w:val="173B4D"/>
                <w:sz w:val="17"/>
              </w:rPr>
              <w:t>Síntesis, anexos y productos de difusión.</w:t>
            </w:r>
          </w:p>
        </w:tc>
        <w:tc>
          <w:tcPr>
            <w:tcW w:type="dxa" w:w="4818"/>
            <w:tcMar>
              <w:top w:w="90" w:type="dxa"/>
              <w:start w:w="120" w:type="dxa"/>
              <w:bottom w:w="90" w:type="dxa"/>
              <w:end w:w="120" w:type="dxa"/>
            </w:tcMar>
            <w:vAlign w:val="top"/>
          </w:tcPr>
          <w:p>
            <w:pPr>
              <w:spacing w:after="40" w:line="264" w:lineRule="auto"/>
            </w:pPr>
            <w:r>
              <w:rPr>
                <w:rFonts w:ascii="Calibri" w:hAnsi="Calibri"/>
                <w:color w:val="173B4D"/>
                <w:sz w:val="17"/>
              </w:rPr>
              <w:t>Presentación vigente, anexos técnicos y web privada; nunca sustituye la fuente técnica de 01/02.</w:t>
            </w:r>
          </w:p>
        </w:tc>
      </w:tr>
      <w:tr>
        <w:tc>
          <w:tcPr>
            <w:tcW w:type="dxa" w:w="1700"/>
            <w:tcMar>
              <w:top w:w="90" w:type="dxa"/>
              <w:start w:w="120" w:type="dxa"/>
              <w:bottom w:w="90" w:type="dxa"/>
              <w:end w:w="120" w:type="dxa"/>
            </w:tcMar>
            <w:vAlign w:val="top"/>
            <w:shd w:fill="F7FAF9"/>
          </w:tcPr>
          <w:p>
            <w:pPr>
              <w:spacing w:after="40" w:line="264" w:lineRule="auto"/>
            </w:pPr>
            <w:r>
              <w:rPr>
                <w:rFonts w:ascii="Calibri" w:hAnsi="Calibri"/>
                <w:color w:val="173B4D"/>
                <w:sz w:val="17"/>
              </w:rPr>
              <w:t>Bocas de túnel</w:t>
            </w:r>
          </w:p>
        </w:tc>
        <w:tc>
          <w:tcPr>
            <w:tcW w:type="dxa" w:w="3118"/>
            <w:tcMar>
              <w:top w:w="90" w:type="dxa"/>
              <w:start w:w="120" w:type="dxa"/>
              <w:bottom w:w="90" w:type="dxa"/>
              <w:end w:w="120" w:type="dxa"/>
            </w:tcMar>
            <w:vAlign w:val="top"/>
            <w:shd w:fill="F7FAF9"/>
          </w:tcPr>
          <w:p>
            <w:pPr>
              <w:spacing w:after="40" w:line="264" w:lineRule="auto"/>
            </w:pPr>
            <w:r>
              <w:rPr>
                <w:rFonts w:ascii="Calibri" w:hAnsi="Calibri"/>
                <w:color w:val="173B4D"/>
                <w:sz w:val="17"/>
              </w:rPr>
              <w:t>Banco de trabajo visual delimitado.</w:t>
            </w:r>
          </w:p>
        </w:tc>
        <w:tc>
          <w:tcPr>
            <w:tcW w:type="dxa" w:w="4818"/>
            <w:tcMar>
              <w:top w:w="90" w:type="dxa"/>
              <w:start w:w="120" w:type="dxa"/>
              <w:bottom w:w="90" w:type="dxa"/>
              <w:end w:w="120" w:type="dxa"/>
            </w:tcMar>
            <w:vAlign w:val="top"/>
            <w:shd w:fill="F7FAF9"/>
          </w:tcPr>
          <w:p>
            <w:pPr>
              <w:spacing w:after="40" w:line="264" w:lineRule="auto"/>
            </w:pPr>
            <w:r>
              <w:rPr>
                <w:rFonts w:ascii="Calibri" w:hAnsi="Calibri"/>
                <w:color w:val="173B4D"/>
                <w:sz w:val="17"/>
              </w:rPr>
              <w:t>Imágenes, referencias y versiones de visualizaciones; se vinculan desde el índice sin reemplazar expedientes técnicos.</w:t>
            </w:r>
          </w:p>
        </w:tc>
      </w:tr>
    </w:tbl>
    <w:p>
      <w:pPr>
        <w:spacing w:after="40"/>
      </w:pP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UBICACIÓN DE LOS REGISTROS MAESTROS</w:t>
            </w:r>
          </w:p>
          <w:p>
            <w:pPr>
              <w:spacing w:after="0" w:line="283" w:lineRule="auto"/>
            </w:pPr>
            <w:r>
              <w:rPr>
                <w:rFonts w:ascii="Calibri" w:hAnsi="Calibri"/>
                <w:color w:val="173B4D"/>
                <w:sz w:val="20"/>
              </w:rPr>
              <w:t>Dentro de 00_EMPEZAR_AQUI se consolidarán cuatro archivos controlados: 01_Indice-General, 02_Matriz-Evidencias, 03_Registro-Decisiones y 04_Registro-Hipotesis-y-Preguntas. Cada entrada enlazará a la ubicación relativa de su fuente; no se duplicará el original.</w:t>
            </w:r>
          </w:p>
        </w:tc>
      </w:tr>
    </w:tbl>
    <w:p>
      <w:pPr>
        <w:spacing w:after="20"/>
      </w:pPr>
    </w:p>
    <w:p>
      <w:pPr>
        <w:pStyle w:val="Heading2"/>
      </w:pPr>
      <w:r>
        <w:rPr>
          <w:rFonts w:ascii="Calibri" w:hAnsi="Calibri"/>
        </w:rPr>
        <w:t>6.4 Matriz única de evidencias</w:t>
      </w:r>
    </w:p>
    <w:p>
      <w:r>
        <w:rPr>
          <w:rFonts w:ascii="Calibri" w:hAnsi="Calibri"/>
        </w:rPr>
        <w:t>La matriz única de evidencias será el inventario de control de cualquier afirmación técnica, territorial, económica o visual que llegue al Documento Maestro, a la presentación o a la Site. Una fila representa una evidencia verificable, no un párrafo de opinión.</w:t>
      </w:r>
    </w:p>
    <w:tbl>
      <w:tblPr>
        <w:tblW w:type="auto" w:w="0"/>
        <w:tblLook w:firstColumn="1" w:firstRow="1" w:lastColumn="0" w:lastRow="0" w:noHBand="0" w:noVBand="1" w:val="04A0"/>
        <w:jc w:val="center"/>
        <w:tblLayout w:type="fixed"/>
      </w:tblPr>
      <w:tblGrid>
        <w:gridCol w:w="2324"/>
        <w:gridCol w:w="7313"/>
      </w:tblGrid>
      <w:tr>
        <w:trPr>
          <w:tblHeader w:val="true"/>
        </w:trPr>
        <w:tc>
          <w:tcPr>
            <w:tcW w:type="dxa" w:w="2324"/>
            <w:shd w:fill="123E4C"/>
            <w:tcMar>
              <w:top w:w="90" w:type="dxa"/>
              <w:start w:w="120" w:type="dxa"/>
              <w:bottom w:w="90" w:type="dxa"/>
              <w:end w:w="120" w:type="dxa"/>
            </w:tcMar>
            <w:vAlign w:val="center"/>
          </w:tcPr>
          <w:p>
            <w:pPr>
              <w:spacing w:after="0"/>
            </w:pPr>
            <w:r>
              <w:rPr>
                <w:rFonts w:ascii="Calibri" w:hAnsi="Calibri"/>
                <w:b/>
                <w:color w:val="FFFFFF"/>
                <w:sz w:val="17"/>
              </w:rPr>
              <w:t>Campo mínimo</w:t>
            </w:r>
          </w:p>
        </w:tc>
        <w:tc>
          <w:tcPr>
            <w:tcW w:type="dxa" w:w="7313"/>
            <w:shd w:fill="123E4C"/>
            <w:tcMar>
              <w:top w:w="90" w:type="dxa"/>
              <w:start w:w="120" w:type="dxa"/>
              <w:bottom w:w="90" w:type="dxa"/>
              <w:end w:w="120" w:type="dxa"/>
            </w:tcMar>
            <w:vAlign w:val="center"/>
          </w:tcPr>
          <w:p>
            <w:pPr>
              <w:spacing w:after="0"/>
            </w:pPr>
            <w:r>
              <w:rPr>
                <w:rFonts w:ascii="Calibri" w:hAnsi="Calibri"/>
                <w:b/>
                <w:color w:val="FFFFFF"/>
                <w:sz w:val="17"/>
              </w:rPr>
              <w:t>Contenido / regla</w:t>
            </w:r>
          </w:p>
        </w:tc>
      </w:tr>
      <w:tr>
        <w:tc>
          <w:tcPr>
            <w:tcW w:type="dxa" w:w="2324"/>
            <w:tcMar>
              <w:top w:w="90" w:type="dxa"/>
              <w:start w:w="120" w:type="dxa"/>
              <w:bottom w:w="90" w:type="dxa"/>
              <w:end w:w="120" w:type="dxa"/>
            </w:tcMar>
            <w:vAlign w:val="top"/>
          </w:tcPr>
          <w:p>
            <w:pPr>
              <w:spacing w:after="40" w:line="264" w:lineRule="auto"/>
            </w:pPr>
            <w:r>
              <w:rPr>
                <w:rFonts w:ascii="Calibri" w:hAnsi="Calibri"/>
                <w:color w:val="173B4D"/>
                <w:sz w:val="17"/>
              </w:rPr>
              <w:t>ID de evidencia</w:t>
            </w:r>
          </w:p>
        </w:tc>
        <w:tc>
          <w:tcPr>
            <w:tcW w:type="dxa" w:w="7313"/>
            <w:tcMar>
              <w:top w:w="90" w:type="dxa"/>
              <w:start w:w="120" w:type="dxa"/>
              <w:bottom w:w="90" w:type="dxa"/>
              <w:end w:w="120" w:type="dxa"/>
            </w:tcMar>
            <w:vAlign w:val="top"/>
          </w:tcPr>
          <w:p>
            <w:pPr>
              <w:spacing w:after="40" w:line="264" w:lineRule="auto"/>
            </w:pPr>
            <w:r>
              <w:rPr>
                <w:rFonts w:ascii="Calibri" w:hAnsi="Calibri"/>
                <w:color w:val="173B4D"/>
                <w:sz w:val="17"/>
              </w:rPr>
              <w:t>Código único: EV-[bloque]-[secuencial]. No se reutiliza aunque la evidencia se archive.</w:t>
            </w:r>
          </w:p>
        </w:tc>
      </w:tr>
      <w:tr>
        <w:tc>
          <w:tcPr>
            <w:tcW w:type="dxa" w:w="2324"/>
            <w:tcMar>
              <w:top w:w="90" w:type="dxa"/>
              <w:start w:w="120" w:type="dxa"/>
              <w:bottom w:w="90" w:type="dxa"/>
              <w:end w:w="120" w:type="dxa"/>
            </w:tcMar>
            <w:vAlign w:val="top"/>
            <w:shd w:fill="F7FAF9"/>
          </w:tcPr>
          <w:p>
            <w:pPr>
              <w:spacing w:after="40" w:line="264" w:lineRule="auto"/>
            </w:pPr>
            <w:r>
              <w:rPr>
                <w:rFonts w:ascii="Calibri" w:hAnsi="Calibri"/>
                <w:color w:val="173B4D"/>
                <w:sz w:val="17"/>
              </w:rPr>
              <w:t>Afirmación y ámbito</w:t>
            </w:r>
          </w:p>
        </w:tc>
        <w:tc>
          <w:tcPr>
            <w:tcW w:type="dxa" w:w="7313"/>
            <w:tcMar>
              <w:top w:w="90" w:type="dxa"/>
              <w:start w:w="120" w:type="dxa"/>
              <w:bottom w:w="90" w:type="dxa"/>
              <w:end w:w="120" w:type="dxa"/>
            </w:tcMar>
            <w:vAlign w:val="top"/>
            <w:shd w:fill="F7FAF9"/>
          </w:tcPr>
          <w:p>
            <w:pPr>
              <w:spacing w:after="40" w:line="264" w:lineRule="auto"/>
            </w:pPr>
            <w:r>
              <w:rPr>
                <w:rFonts w:ascii="Calibri" w:hAnsi="Calibri"/>
                <w:color w:val="173B4D"/>
                <w:sz w:val="17"/>
              </w:rPr>
              <w:t>Qué sostiene, unidad, ámbito territorial y alternativa vinculada: común, Oeste, Este o travesía.</w:t>
            </w:r>
          </w:p>
        </w:tc>
      </w:tr>
      <w:tr>
        <w:tc>
          <w:tcPr>
            <w:tcW w:type="dxa" w:w="2324"/>
            <w:tcMar>
              <w:top w:w="90" w:type="dxa"/>
              <w:start w:w="120" w:type="dxa"/>
              <w:bottom w:w="90" w:type="dxa"/>
              <w:end w:w="120" w:type="dxa"/>
            </w:tcMar>
            <w:vAlign w:val="top"/>
          </w:tcPr>
          <w:p>
            <w:pPr>
              <w:spacing w:after="40" w:line="264" w:lineRule="auto"/>
            </w:pPr>
            <w:r>
              <w:rPr>
                <w:rFonts w:ascii="Calibri" w:hAnsi="Calibri"/>
                <w:color w:val="173B4D"/>
                <w:sz w:val="17"/>
              </w:rPr>
              <w:t>Fuente y archivo</w:t>
            </w:r>
          </w:p>
        </w:tc>
        <w:tc>
          <w:tcPr>
            <w:tcW w:type="dxa" w:w="7313"/>
            <w:tcMar>
              <w:top w:w="90" w:type="dxa"/>
              <w:start w:w="120" w:type="dxa"/>
              <w:bottom w:w="90" w:type="dxa"/>
              <w:end w:w="120" w:type="dxa"/>
            </w:tcMar>
            <w:vAlign w:val="top"/>
          </w:tcPr>
          <w:p>
            <w:pPr>
              <w:spacing w:after="40" w:line="264" w:lineRule="auto"/>
            </w:pPr>
            <w:r>
              <w:rPr>
                <w:rFonts w:ascii="Calibri" w:hAnsi="Calibri"/>
                <w:color w:val="173B4D"/>
                <w:sz w:val="17"/>
              </w:rPr>
              <w:t>Organismo/autor, código documental, título, versión, fecha, licencia o condición de uso.</w:t>
            </w:r>
          </w:p>
        </w:tc>
      </w:tr>
      <w:tr>
        <w:tc>
          <w:tcPr>
            <w:tcW w:type="dxa" w:w="2324"/>
            <w:tcMar>
              <w:top w:w="90" w:type="dxa"/>
              <w:start w:w="120" w:type="dxa"/>
              <w:bottom w:w="90" w:type="dxa"/>
              <w:end w:w="120" w:type="dxa"/>
            </w:tcMar>
            <w:vAlign w:val="top"/>
            <w:shd w:fill="F7FAF9"/>
          </w:tcPr>
          <w:p>
            <w:pPr>
              <w:spacing w:after="40" w:line="264" w:lineRule="auto"/>
            </w:pPr>
            <w:r>
              <w:rPr>
                <w:rFonts w:ascii="Calibri" w:hAnsi="Calibri"/>
                <w:color w:val="173B4D"/>
                <w:sz w:val="17"/>
              </w:rPr>
              <w:t>Ubicación</w:t>
            </w:r>
          </w:p>
        </w:tc>
        <w:tc>
          <w:tcPr>
            <w:tcW w:type="dxa" w:w="7313"/>
            <w:tcMar>
              <w:top w:w="90" w:type="dxa"/>
              <w:start w:w="120" w:type="dxa"/>
              <w:bottom w:w="90" w:type="dxa"/>
              <w:end w:w="120" w:type="dxa"/>
            </w:tcMar>
            <w:vAlign w:val="top"/>
            <w:shd w:fill="F7FAF9"/>
          </w:tcPr>
          <w:p>
            <w:pPr>
              <w:spacing w:after="40" w:line="264" w:lineRule="auto"/>
            </w:pPr>
            <w:r>
              <w:rPr>
                <w:rFonts w:ascii="Calibri" w:hAnsi="Calibri"/>
                <w:color w:val="173B4D"/>
                <w:sz w:val="17"/>
              </w:rPr>
              <w:t>Ruta relativa en Variante y, si procede, hoja, página, plano, capa o rango de datos.</w:t>
            </w:r>
          </w:p>
        </w:tc>
      </w:tr>
      <w:tr>
        <w:tc>
          <w:tcPr>
            <w:tcW w:type="dxa" w:w="2324"/>
            <w:tcMar>
              <w:top w:w="90" w:type="dxa"/>
              <w:start w:w="120" w:type="dxa"/>
              <w:bottom w:w="90" w:type="dxa"/>
              <w:end w:w="120" w:type="dxa"/>
            </w:tcMar>
            <w:vAlign w:val="top"/>
          </w:tcPr>
          <w:p>
            <w:pPr>
              <w:spacing w:after="40" w:line="264" w:lineRule="auto"/>
            </w:pPr>
            <w:r>
              <w:rPr>
                <w:rFonts w:ascii="Calibri" w:hAnsi="Calibri"/>
                <w:color w:val="173B4D"/>
                <w:sz w:val="17"/>
              </w:rPr>
              <w:t>Responsable y validación</w:t>
            </w:r>
          </w:p>
        </w:tc>
        <w:tc>
          <w:tcPr>
            <w:tcW w:type="dxa" w:w="7313"/>
            <w:tcMar>
              <w:top w:w="90" w:type="dxa"/>
              <w:start w:w="120" w:type="dxa"/>
              <w:bottom w:w="90" w:type="dxa"/>
              <w:end w:w="120" w:type="dxa"/>
            </w:tcMar>
            <w:vAlign w:val="top"/>
          </w:tcPr>
          <w:p>
            <w:pPr>
              <w:spacing w:after="40" w:line="264" w:lineRule="auto"/>
            </w:pPr>
            <w:r>
              <w:rPr>
                <w:rFonts w:ascii="Calibri" w:hAnsi="Calibri"/>
                <w:color w:val="173B4D"/>
                <w:sz w:val="17"/>
              </w:rPr>
              <w:t>Responsable de alta, revisor, fecha de revisión y estado: recibido, contrastado, validado, condicionado u obsoleto.</w:t>
            </w:r>
          </w:p>
        </w:tc>
      </w:tr>
      <w:tr>
        <w:tc>
          <w:tcPr>
            <w:tcW w:type="dxa" w:w="2324"/>
            <w:tcMar>
              <w:top w:w="90" w:type="dxa"/>
              <w:start w:w="120" w:type="dxa"/>
              <w:bottom w:w="90" w:type="dxa"/>
              <w:end w:w="120" w:type="dxa"/>
            </w:tcMar>
            <w:vAlign w:val="top"/>
            <w:shd w:fill="F7FAF9"/>
          </w:tcPr>
          <w:p>
            <w:pPr>
              <w:spacing w:after="40" w:line="264" w:lineRule="auto"/>
            </w:pPr>
            <w:r>
              <w:rPr>
                <w:rFonts w:ascii="Calibri" w:hAnsi="Calibri"/>
                <w:color w:val="173B4D"/>
                <w:sz w:val="17"/>
              </w:rPr>
              <w:t>Limitación y vínculo</w:t>
            </w:r>
          </w:p>
        </w:tc>
        <w:tc>
          <w:tcPr>
            <w:tcW w:type="dxa" w:w="7313"/>
            <w:tcMar>
              <w:top w:w="90" w:type="dxa"/>
              <w:start w:w="120" w:type="dxa"/>
              <w:bottom w:w="90" w:type="dxa"/>
              <w:end w:w="120" w:type="dxa"/>
            </w:tcMar>
            <w:vAlign w:val="top"/>
            <w:shd w:fill="F7FAF9"/>
          </w:tcPr>
          <w:p>
            <w:pPr>
              <w:spacing w:after="40" w:line="264" w:lineRule="auto"/>
            </w:pPr>
            <w:r>
              <w:rPr>
                <w:rFonts w:ascii="Calibri" w:hAnsi="Calibri"/>
                <w:color w:val="173B4D"/>
                <w:sz w:val="17"/>
              </w:rPr>
              <w:t>Alcance, incertidumbre, dependencia pendiente y relación con decisión, hipótesis o pregunta abierta.</w:t>
            </w:r>
          </w:p>
        </w:tc>
      </w:tr>
    </w:tbl>
    <w:p>
      <w:pPr>
        <w:spacing w:after="40"/>
      </w:pPr>
    </w:p>
    <w:p>
      <w:pPr>
        <w:pStyle w:val="Heading2"/>
      </w:pPr>
      <w:r>
        <w:rPr>
          <w:rFonts w:ascii="Calibri" w:hAnsi="Calibri"/>
        </w:rPr>
        <w:t>6.5 Ciclo de vida de decisiones, hipótesis y preguntas</w:t>
      </w:r>
    </w:p>
    <w:tbl>
      <w:tblPr>
        <w:tblW w:type="auto" w:w="0"/>
        <w:tblLook w:firstColumn="1" w:firstRow="1" w:lastColumn="0" w:lastRow="0" w:noHBand="0" w:noVBand="1" w:val="04A0"/>
        <w:jc w:val="center"/>
        <w:tblLayout w:type="fixed"/>
      </w:tblPr>
      <w:tblGrid>
        <w:gridCol w:w="1757"/>
        <w:gridCol w:w="2834"/>
        <w:gridCol w:w="5045"/>
      </w:tblGrid>
      <w:tr>
        <w:trPr>
          <w:tblHeader w:val="true"/>
        </w:trPr>
        <w:tc>
          <w:tcPr>
            <w:tcW w:type="dxa" w:w="1757"/>
            <w:shd w:fill="123E4C"/>
            <w:tcMar>
              <w:top w:w="90" w:type="dxa"/>
              <w:start w:w="120" w:type="dxa"/>
              <w:bottom w:w="90" w:type="dxa"/>
              <w:end w:w="120" w:type="dxa"/>
            </w:tcMar>
            <w:vAlign w:val="center"/>
          </w:tcPr>
          <w:p>
            <w:pPr>
              <w:spacing w:after="0"/>
            </w:pPr>
            <w:r>
              <w:rPr>
                <w:rFonts w:ascii="Calibri" w:hAnsi="Calibri"/>
                <w:b/>
                <w:color w:val="FFFFFF"/>
                <w:sz w:val="17"/>
              </w:rPr>
              <w:t>Paso</w:t>
            </w:r>
          </w:p>
        </w:tc>
        <w:tc>
          <w:tcPr>
            <w:tcW w:type="dxa" w:w="2834"/>
            <w:shd w:fill="123E4C"/>
            <w:tcMar>
              <w:top w:w="90" w:type="dxa"/>
              <w:start w:w="120" w:type="dxa"/>
              <w:bottom w:w="90" w:type="dxa"/>
              <w:end w:w="120" w:type="dxa"/>
            </w:tcMar>
            <w:vAlign w:val="center"/>
          </w:tcPr>
          <w:p>
            <w:pPr>
              <w:spacing w:after="0"/>
            </w:pPr>
            <w:r>
              <w:rPr>
                <w:rFonts w:ascii="Calibri" w:hAnsi="Calibri"/>
                <w:b/>
                <w:color w:val="FFFFFF"/>
                <w:sz w:val="17"/>
              </w:rPr>
              <w:t>Quién / cuándo</w:t>
            </w:r>
          </w:p>
        </w:tc>
        <w:tc>
          <w:tcPr>
            <w:tcW w:type="dxa" w:w="5045"/>
            <w:shd w:fill="123E4C"/>
            <w:tcMar>
              <w:top w:w="90" w:type="dxa"/>
              <w:start w:w="120" w:type="dxa"/>
              <w:bottom w:w="90" w:type="dxa"/>
              <w:end w:w="120" w:type="dxa"/>
            </w:tcMar>
            <w:vAlign w:val="center"/>
          </w:tcPr>
          <w:p>
            <w:pPr>
              <w:spacing w:after="0"/>
            </w:pPr>
            <w:r>
              <w:rPr>
                <w:rFonts w:ascii="Calibri" w:hAnsi="Calibri"/>
                <w:b/>
                <w:color w:val="FFFFFF"/>
                <w:sz w:val="17"/>
              </w:rPr>
              <w:t>Resultado obligatorio</w:t>
            </w:r>
          </w:p>
        </w:tc>
      </w:tr>
      <w:tr>
        <w:tc>
          <w:tcPr>
            <w:tcW w:type="dxa" w:w="1757"/>
            <w:tcMar>
              <w:top w:w="90" w:type="dxa"/>
              <w:start w:w="120" w:type="dxa"/>
              <w:bottom w:w="90" w:type="dxa"/>
              <w:end w:w="120" w:type="dxa"/>
            </w:tcMar>
            <w:vAlign w:val="top"/>
          </w:tcPr>
          <w:p>
            <w:pPr>
              <w:spacing w:after="40" w:line="264" w:lineRule="auto"/>
            </w:pPr>
            <w:r>
              <w:rPr>
                <w:rFonts w:ascii="Calibri" w:hAnsi="Calibri"/>
                <w:color w:val="173B4D"/>
                <w:sz w:val="17"/>
              </w:rPr>
              <w:t>Crear</w:t>
            </w:r>
          </w:p>
        </w:tc>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Quien incorpora una cuestión o evidencia.</w:t>
            </w:r>
          </w:p>
        </w:tc>
        <w:tc>
          <w:tcPr>
            <w:tcW w:type="dxa" w:w="5045"/>
            <w:tcMar>
              <w:top w:w="90" w:type="dxa"/>
              <w:start w:w="120" w:type="dxa"/>
              <w:bottom w:w="90" w:type="dxa"/>
              <w:end w:w="120" w:type="dxa"/>
            </w:tcMar>
            <w:vAlign w:val="top"/>
          </w:tcPr>
          <w:p>
            <w:pPr>
              <w:spacing w:after="40" w:line="264" w:lineRule="auto"/>
            </w:pPr>
            <w:r>
              <w:rPr>
                <w:rFonts w:ascii="Calibri" w:hAnsi="Calibri"/>
                <w:color w:val="173B4D"/>
                <w:sz w:val="17"/>
              </w:rPr>
              <w:t>Alta con ID, fecha, motivo, fuente vinculada, responsable y estado inicial.</w:t>
            </w:r>
          </w:p>
        </w:tc>
      </w:tr>
      <w:tr>
        <w:tc>
          <w:tcPr>
            <w:tcW w:type="dxa" w:w="1757"/>
            <w:tcMar>
              <w:top w:w="90" w:type="dxa"/>
              <w:start w:w="120" w:type="dxa"/>
              <w:bottom w:w="90" w:type="dxa"/>
              <w:end w:w="120" w:type="dxa"/>
            </w:tcMar>
            <w:vAlign w:val="top"/>
            <w:shd w:fill="F7FAF9"/>
          </w:tcPr>
          <w:p>
            <w:pPr>
              <w:spacing w:after="40" w:line="264" w:lineRule="auto"/>
            </w:pPr>
            <w:r>
              <w:rPr>
                <w:rFonts w:ascii="Calibri" w:hAnsi="Calibri"/>
                <w:color w:val="173B4D"/>
                <w:sz w:val="17"/>
              </w:rPr>
              <w:t>Revisar</w:t>
            </w:r>
          </w:p>
        </w:tc>
        <w:tc>
          <w:tcPr>
            <w:tcW w:type="dxa" w:w="2834"/>
            <w:tcMar>
              <w:top w:w="90" w:type="dxa"/>
              <w:start w:w="120" w:type="dxa"/>
              <w:bottom w:w="90" w:type="dxa"/>
              <w:end w:w="120" w:type="dxa"/>
            </w:tcMar>
            <w:vAlign w:val="top"/>
            <w:shd w:fill="F7FAF9"/>
          </w:tcPr>
          <w:p>
            <w:pPr>
              <w:spacing w:after="40" w:line="264" w:lineRule="auto"/>
            </w:pPr>
            <w:r>
              <w:rPr>
                <w:rFonts w:ascii="Calibri" w:hAnsi="Calibri"/>
                <w:color w:val="173B4D"/>
                <w:sz w:val="17"/>
              </w:rPr>
              <w:t>Responsable técnico o documental distinto de quien crea.</w:t>
            </w:r>
          </w:p>
        </w:tc>
        <w:tc>
          <w:tcPr>
            <w:tcW w:type="dxa" w:w="5045"/>
            <w:tcMar>
              <w:top w:w="90" w:type="dxa"/>
              <w:start w:w="120" w:type="dxa"/>
              <w:bottom w:w="90" w:type="dxa"/>
              <w:end w:w="120" w:type="dxa"/>
            </w:tcMar>
            <w:vAlign w:val="top"/>
            <w:shd w:fill="F7FAF9"/>
          </w:tcPr>
          <w:p>
            <w:pPr>
              <w:spacing w:after="40" w:line="264" w:lineRule="auto"/>
            </w:pPr>
            <w:r>
              <w:rPr>
                <w:rFonts w:ascii="Calibri" w:hAnsi="Calibri"/>
                <w:color w:val="173B4D"/>
                <w:sz w:val="17"/>
              </w:rPr>
              <w:t>Comprobación de fuente, alcance, etiqueta y consecuencia sobre alternativas.</w:t>
            </w:r>
          </w:p>
        </w:tc>
      </w:tr>
      <w:tr>
        <w:tc>
          <w:tcPr>
            <w:tcW w:type="dxa" w:w="1757"/>
            <w:tcMar>
              <w:top w:w="90" w:type="dxa"/>
              <w:start w:w="120" w:type="dxa"/>
              <w:bottom w:w="90" w:type="dxa"/>
              <w:end w:w="120" w:type="dxa"/>
            </w:tcMar>
            <w:vAlign w:val="top"/>
          </w:tcPr>
          <w:p>
            <w:pPr>
              <w:spacing w:after="40" w:line="264" w:lineRule="auto"/>
            </w:pPr>
            <w:r>
              <w:rPr>
                <w:rFonts w:ascii="Calibri" w:hAnsi="Calibri"/>
                <w:color w:val="173B4D"/>
                <w:sz w:val="17"/>
              </w:rPr>
              <w:t>Aprobar o rechazar</w:t>
            </w:r>
          </w:p>
        </w:tc>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Promotor o persona con autoridad expresamente designada.</w:t>
            </w:r>
          </w:p>
        </w:tc>
        <w:tc>
          <w:tcPr>
            <w:tcW w:type="dxa" w:w="5045"/>
            <w:tcMar>
              <w:top w:w="90" w:type="dxa"/>
              <w:start w:w="120" w:type="dxa"/>
              <w:bottom w:w="90" w:type="dxa"/>
              <w:end w:w="120" w:type="dxa"/>
            </w:tcMar>
            <w:vAlign w:val="top"/>
          </w:tcPr>
          <w:p>
            <w:pPr>
              <w:spacing w:after="40" w:line="264" w:lineRule="auto"/>
            </w:pPr>
            <w:r>
              <w:rPr>
                <w:rFonts w:ascii="Calibri" w:hAnsi="Calibri"/>
                <w:color w:val="173B4D"/>
                <w:sz w:val="17"/>
              </w:rPr>
              <w:t>Resolución fechada, motivo, versión afectada y acciones derivadas.</w:t>
            </w:r>
          </w:p>
        </w:tc>
      </w:tr>
      <w:tr>
        <w:tc>
          <w:tcPr>
            <w:tcW w:type="dxa" w:w="1757"/>
            <w:tcMar>
              <w:top w:w="90" w:type="dxa"/>
              <w:start w:w="120" w:type="dxa"/>
              <w:bottom w:w="90" w:type="dxa"/>
              <w:end w:w="120" w:type="dxa"/>
            </w:tcMar>
            <w:vAlign w:val="top"/>
            <w:shd w:fill="F7FAF9"/>
          </w:tcPr>
          <w:p>
            <w:pPr>
              <w:spacing w:after="40" w:line="264" w:lineRule="auto"/>
            </w:pPr>
            <w:r>
              <w:rPr>
                <w:rFonts w:ascii="Calibri" w:hAnsi="Calibri"/>
                <w:color w:val="173B4D"/>
                <w:sz w:val="17"/>
              </w:rPr>
              <w:t>Aplicar</w:t>
            </w:r>
          </w:p>
        </w:tc>
        <w:tc>
          <w:tcPr>
            <w:tcW w:type="dxa" w:w="2834"/>
            <w:tcMar>
              <w:top w:w="90" w:type="dxa"/>
              <w:start w:w="120" w:type="dxa"/>
              <w:bottom w:w="90" w:type="dxa"/>
              <w:end w:w="120" w:type="dxa"/>
            </w:tcMar>
            <w:vAlign w:val="top"/>
            <w:shd w:fill="F7FAF9"/>
          </w:tcPr>
          <w:p>
            <w:pPr>
              <w:spacing w:after="40" w:line="264" w:lineRule="auto"/>
            </w:pPr>
            <w:r>
              <w:rPr>
                <w:rFonts w:ascii="Calibri" w:hAnsi="Calibri"/>
                <w:color w:val="173B4D"/>
                <w:sz w:val="17"/>
              </w:rPr>
              <w:t>Responsable de documento, plano, presupuesto o presentación.</w:t>
            </w:r>
          </w:p>
        </w:tc>
        <w:tc>
          <w:tcPr>
            <w:tcW w:type="dxa" w:w="5045"/>
            <w:tcMar>
              <w:top w:w="90" w:type="dxa"/>
              <w:start w:w="120" w:type="dxa"/>
              <w:bottom w:w="90" w:type="dxa"/>
              <w:end w:w="120" w:type="dxa"/>
            </w:tcMar>
            <w:vAlign w:val="top"/>
            <w:shd w:fill="F7FAF9"/>
          </w:tcPr>
          <w:p>
            <w:pPr>
              <w:spacing w:after="40" w:line="264" w:lineRule="auto"/>
            </w:pPr>
            <w:r>
              <w:rPr>
                <w:rFonts w:ascii="Calibri" w:hAnsi="Calibri"/>
                <w:color w:val="173B4D"/>
                <w:sz w:val="17"/>
              </w:rPr>
              <w:t>Enlace a la versión que incorpora el acuerdo; no basta con una nota verbal.</w:t>
            </w:r>
          </w:p>
        </w:tc>
      </w:tr>
      <w:tr>
        <w:tc>
          <w:tcPr>
            <w:tcW w:type="dxa" w:w="1757"/>
            <w:tcMar>
              <w:top w:w="90" w:type="dxa"/>
              <w:start w:w="120" w:type="dxa"/>
              <w:bottom w:w="90" w:type="dxa"/>
              <w:end w:w="120" w:type="dxa"/>
            </w:tcMar>
            <w:vAlign w:val="top"/>
          </w:tcPr>
          <w:p>
            <w:pPr>
              <w:spacing w:after="40" w:line="264" w:lineRule="auto"/>
            </w:pPr>
            <w:r>
              <w:rPr>
                <w:rFonts w:ascii="Calibri" w:hAnsi="Calibri"/>
                <w:color w:val="173B4D"/>
                <w:sz w:val="17"/>
              </w:rPr>
              <w:t>Archivar</w:t>
            </w:r>
          </w:p>
        </w:tc>
        <w:tc>
          <w:tcPr>
            <w:tcW w:type="dxa" w:w="2834"/>
            <w:tcMar>
              <w:top w:w="90" w:type="dxa"/>
              <w:start w:w="120" w:type="dxa"/>
              <w:bottom w:w="90" w:type="dxa"/>
              <w:end w:w="120" w:type="dxa"/>
            </w:tcMar>
            <w:vAlign w:val="top"/>
          </w:tcPr>
          <w:p>
            <w:pPr>
              <w:spacing w:after="40" w:line="264" w:lineRule="auto"/>
            </w:pPr>
            <w:r>
              <w:rPr>
                <w:rFonts w:ascii="Calibri" w:hAnsi="Calibri"/>
                <w:color w:val="173B4D"/>
                <w:sz w:val="17"/>
              </w:rPr>
              <w:t>Responsable documental al sustituir una entrada.</w:t>
            </w:r>
          </w:p>
        </w:tc>
        <w:tc>
          <w:tcPr>
            <w:tcW w:type="dxa" w:w="5045"/>
            <w:tcMar>
              <w:top w:w="90" w:type="dxa"/>
              <w:start w:w="120" w:type="dxa"/>
              <w:bottom w:w="90" w:type="dxa"/>
              <w:end w:w="120" w:type="dxa"/>
            </w:tcMar>
            <w:vAlign w:val="top"/>
          </w:tcPr>
          <w:p>
            <w:pPr>
              <w:spacing w:after="40" w:line="264" w:lineRule="auto"/>
            </w:pPr>
            <w:r>
              <w:rPr>
                <w:rFonts w:ascii="Calibri" w:hAnsi="Calibri"/>
                <w:color w:val="173B4D"/>
                <w:sz w:val="17"/>
              </w:rPr>
              <w:t>Conservar ID, motivo de cierre, sustituto y ruta de archivo; nunca borrar el rastro.</w:t>
            </w:r>
          </w:p>
        </w:tc>
      </w:tr>
    </w:tbl>
    <w:p>
      <w:pPr>
        <w:spacing w:after="40"/>
      </w:pPr>
    </w:p>
    <w:p>
      <w:pPr>
        <w:pStyle w:val="Heading2"/>
      </w:pPr>
      <w:r>
        <w:rPr>
          <w:rFonts w:ascii="Calibri" w:hAnsi="Calibri"/>
        </w:rPr>
        <w:t>6.6 Estado de publicación y aprobación</w:t>
      </w:r>
    </w:p>
    <w:p>
      <w:r>
        <w:rPr>
          <w:rFonts w:ascii="Calibri" w:hAnsi="Calibri"/>
        </w:rPr>
        <w:t>Decisión operativa para esta versión: la clasificación sigue siendo TRABAJO INTERNO y el estado es PARA-REVISION. No debe llamarse “vigente” ni “para firma” mientras no se cierre esta revisión. Cuando el contenido quede bloqueado, se emitirá una versión sucesiva PARA-FIRMA, aún de uso interno. Solo tras aprobación expresa se emitirá una versión VIGENTE con la clasificación de difusión que el promotor determine.</w:t>
      </w:r>
    </w:p>
    <w:p>
      <w:pPr>
        <w:pStyle w:val="Heading1"/>
      </w:pPr>
      <w:r>
        <w:rPr>
          <w:rFonts w:ascii="Calibri" w:hAnsi="Calibri"/>
        </w:rPr>
        <w:t>7. Registro inicial de decisiones, hipótesis y preguntas</w:t>
      </w:r>
    </w:p>
    <w:p>
      <w:r>
        <w:rPr>
          <w:rFonts w:ascii="Calibri" w:hAnsi="Calibri"/>
        </w:rPr>
        <w:t>Estos registros no reemplazan los libros específicos existentes; resumen lo que debe mantenerse visible en la revisión del Documento Maestro.</w:t>
      </w:r>
    </w:p>
    <w:p>
      <w:pPr>
        <w:pStyle w:val="Heading2"/>
      </w:pPr>
      <w:r>
        <w:rPr>
          <w:rFonts w:ascii="Calibri" w:hAnsi="Calibri"/>
        </w:rPr>
        <w:t>7.1 Decisiones de trabajo ya adoptadas</w:t>
      </w:r>
    </w:p>
    <w:tbl>
      <w:tblPr>
        <w:tblW w:type="auto" w:w="0"/>
        <w:tblLook w:firstColumn="1" w:firstRow="1" w:lastColumn="0" w:lastRow="0" w:noHBand="0" w:noVBand="1" w:val="04A0"/>
        <w:jc w:val="center"/>
        <w:tblLayout w:type="fixed"/>
      </w:tblPr>
      <w:tblGrid>
        <w:gridCol w:w="1133"/>
        <w:gridCol w:w="3968"/>
        <w:gridCol w:w="4535"/>
      </w:tblGrid>
      <w:tr>
        <w:trPr>
          <w:tblHeader w:val="true"/>
        </w:trPr>
        <w:tc>
          <w:tcPr>
            <w:tcW w:type="dxa" w:w="1133"/>
            <w:shd w:fill="123E4C"/>
            <w:tcMar>
              <w:top w:w="90" w:type="dxa"/>
              <w:start w:w="120" w:type="dxa"/>
              <w:bottom w:w="90" w:type="dxa"/>
              <w:end w:w="120" w:type="dxa"/>
            </w:tcMar>
            <w:vAlign w:val="center"/>
          </w:tcPr>
          <w:p>
            <w:pPr>
              <w:spacing w:after="0"/>
            </w:pPr>
            <w:r>
              <w:rPr>
                <w:rFonts w:ascii="Calibri" w:hAnsi="Calibri"/>
                <w:b/>
                <w:color w:val="FFFFFF"/>
                <w:sz w:val="17"/>
              </w:rPr>
              <w:t>ID</w:t>
            </w:r>
          </w:p>
        </w:tc>
        <w:tc>
          <w:tcPr>
            <w:tcW w:type="dxa" w:w="3968"/>
            <w:shd w:fill="123E4C"/>
            <w:tcMar>
              <w:top w:w="90" w:type="dxa"/>
              <w:start w:w="120" w:type="dxa"/>
              <w:bottom w:w="90" w:type="dxa"/>
              <w:end w:w="120" w:type="dxa"/>
            </w:tcMar>
            <w:vAlign w:val="center"/>
          </w:tcPr>
          <w:p>
            <w:pPr>
              <w:spacing w:after="0"/>
            </w:pPr>
            <w:r>
              <w:rPr>
                <w:rFonts w:ascii="Calibri" w:hAnsi="Calibri"/>
                <w:b/>
                <w:color w:val="FFFFFF"/>
                <w:sz w:val="17"/>
              </w:rPr>
              <w:t>Decisión</w:t>
            </w:r>
          </w:p>
        </w:tc>
        <w:tc>
          <w:tcPr>
            <w:tcW w:type="dxa" w:w="4535"/>
            <w:shd w:fill="123E4C"/>
            <w:tcMar>
              <w:top w:w="90" w:type="dxa"/>
              <w:start w:w="120" w:type="dxa"/>
              <w:bottom w:w="90" w:type="dxa"/>
              <w:end w:w="120" w:type="dxa"/>
            </w:tcMar>
            <w:vAlign w:val="center"/>
          </w:tcPr>
          <w:p>
            <w:pPr>
              <w:spacing w:after="0"/>
            </w:pPr>
            <w:r>
              <w:rPr>
                <w:rFonts w:ascii="Calibri" w:hAnsi="Calibri"/>
                <w:b/>
                <w:color w:val="FFFFFF"/>
                <w:sz w:val="17"/>
              </w:rPr>
              <w:t>Consecuencia</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D-01</w:t>
            </w:r>
          </w:p>
        </w:tc>
        <w:tc>
          <w:tcPr>
            <w:tcW w:type="dxa" w:w="3968"/>
            <w:tcMar>
              <w:top w:w="90" w:type="dxa"/>
              <w:start w:w="120" w:type="dxa"/>
              <w:bottom w:w="90" w:type="dxa"/>
              <w:end w:w="120" w:type="dxa"/>
            </w:tcMar>
            <w:vAlign w:val="top"/>
          </w:tcPr>
          <w:p>
            <w:pPr>
              <w:spacing w:after="40" w:line="264" w:lineRule="auto"/>
            </w:pPr>
            <w:r>
              <w:rPr>
                <w:rFonts w:ascii="Calibri" w:hAnsi="Calibri"/>
                <w:color w:val="173B4D"/>
                <w:sz w:val="17"/>
              </w:rPr>
              <w:t>Trabajar con dos familias de corredor: Oeste y Este.</w:t>
            </w:r>
          </w:p>
        </w:tc>
        <w:tc>
          <w:tcPr>
            <w:tcW w:type="dxa" w:w="4535"/>
            <w:tcMar>
              <w:top w:w="90" w:type="dxa"/>
              <w:start w:w="120" w:type="dxa"/>
              <w:bottom w:w="90" w:type="dxa"/>
              <w:end w:w="120" w:type="dxa"/>
            </w:tcMar>
            <w:vAlign w:val="top"/>
          </w:tcPr>
          <w:p>
            <w:pPr>
              <w:spacing w:after="40" w:line="264" w:lineRule="auto"/>
            </w:pPr>
            <w:r>
              <w:rPr>
                <w:rFonts w:ascii="Calibri" w:hAnsi="Calibri"/>
                <w:color w:val="173B4D"/>
                <w:sz w:val="17"/>
              </w:rPr>
              <w:t>Toda comparación y comunicación se estructura desde estas dos alternativas.</w:t>
            </w:r>
          </w:p>
        </w:tc>
      </w:tr>
      <w:tr>
        <w:tc>
          <w:tcPr>
            <w:tcW w:type="dxa" w:w="1133"/>
            <w:tcMar>
              <w:top w:w="90" w:type="dxa"/>
              <w:start w:w="120" w:type="dxa"/>
              <w:bottom w:w="90" w:type="dxa"/>
              <w:end w:w="120" w:type="dxa"/>
            </w:tcMar>
            <w:vAlign w:val="top"/>
            <w:shd w:fill="F7FAF9"/>
          </w:tcPr>
          <w:p>
            <w:pPr>
              <w:spacing w:after="40" w:line="264" w:lineRule="auto"/>
            </w:pPr>
            <w:r>
              <w:rPr>
                <w:rFonts w:ascii="Calibri" w:hAnsi="Calibri"/>
                <w:color w:val="173B4D"/>
                <w:sz w:val="17"/>
              </w:rPr>
              <w:t>D-02</w:t>
            </w:r>
          </w:p>
        </w:tc>
        <w:tc>
          <w:tcPr>
            <w:tcW w:type="dxa" w:w="3968"/>
            <w:tcMar>
              <w:top w:w="90" w:type="dxa"/>
              <w:start w:w="120" w:type="dxa"/>
              <w:bottom w:w="90" w:type="dxa"/>
              <w:end w:w="120" w:type="dxa"/>
            </w:tcMar>
            <w:vAlign w:val="top"/>
            <w:shd w:fill="F7FAF9"/>
          </w:tcPr>
          <w:p>
            <w:pPr>
              <w:spacing w:after="40" w:line="264" w:lineRule="auto"/>
            </w:pPr>
            <w:r>
              <w:rPr>
                <w:rFonts w:ascii="Calibri" w:hAnsi="Calibri"/>
                <w:color w:val="173B4D"/>
                <w:sz w:val="17"/>
              </w:rPr>
              <w:t>No declarar alternativa preferente antes de completar los criterios comunes.</w:t>
            </w:r>
          </w:p>
        </w:tc>
        <w:tc>
          <w:tcPr>
            <w:tcW w:type="dxa" w:w="4535"/>
            <w:tcMar>
              <w:top w:w="90" w:type="dxa"/>
              <w:start w:w="120" w:type="dxa"/>
              <w:bottom w:w="90" w:type="dxa"/>
              <w:end w:w="120" w:type="dxa"/>
            </w:tcMar>
            <w:vAlign w:val="top"/>
            <w:shd w:fill="F7FAF9"/>
          </w:tcPr>
          <w:p>
            <w:pPr>
              <w:spacing w:after="40" w:line="264" w:lineRule="auto"/>
            </w:pPr>
            <w:r>
              <w:rPr>
                <w:rFonts w:ascii="Calibri" w:hAnsi="Calibri"/>
                <w:color w:val="173B4D"/>
                <w:sz w:val="17"/>
              </w:rPr>
              <w:t>El relato de la alternativa Oeste puede ser ambicioso, pero no sustituye la evaluación.</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D-03</w:t>
            </w:r>
          </w:p>
        </w:tc>
        <w:tc>
          <w:tcPr>
            <w:tcW w:type="dxa" w:w="3968"/>
            <w:tcMar>
              <w:top w:w="90" w:type="dxa"/>
              <w:start w:w="120" w:type="dxa"/>
              <w:bottom w:w="90" w:type="dxa"/>
              <w:end w:w="120" w:type="dxa"/>
            </w:tcMar>
            <w:vAlign w:val="top"/>
          </w:tcPr>
          <w:p>
            <w:pPr>
              <w:spacing w:after="40" w:line="264" w:lineRule="auto"/>
            </w:pPr>
            <w:r>
              <w:rPr>
                <w:rFonts w:ascii="Calibri" w:hAnsi="Calibri"/>
                <w:color w:val="173B4D"/>
                <w:sz w:val="17"/>
              </w:rPr>
              <w:t>Vincular variante y travesía como una única estrategia territorial.</w:t>
            </w:r>
          </w:p>
        </w:tc>
        <w:tc>
          <w:tcPr>
            <w:tcW w:type="dxa" w:w="4535"/>
            <w:tcMar>
              <w:top w:w="90" w:type="dxa"/>
              <w:start w:w="120" w:type="dxa"/>
              <w:bottom w:w="90" w:type="dxa"/>
              <w:end w:w="120" w:type="dxa"/>
            </w:tcMar>
            <w:vAlign w:val="top"/>
          </w:tcPr>
          <w:p>
            <w:pPr>
              <w:spacing w:after="40" w:line="264" w:lineRule="auto"/>
            </w:pPr>
            <w:r>
              <w:rPr>
                <w:rFonts w:ascii="Calibri" w:hAnsi="Calibri"/>
                <w:color w:val="173B4D"/>
                <w:sz w:val="17"/>
              </w:rPr>
              <w:t>Las evaluaciones incluirán beneficios urbanos y no solo movilidad interurbana.</w:t>
            </w:r>
          </w:p>
        </w:tc>
      </w:tr>
      <w:tr>
        <w:tc>
          <w:tcPr>
            <w:tcW w:type="dxa" w:w="1133"/>
            <w:tcMar>
              <w:top w:w="90" w:type="dxa"/>
              <w:start w:w="120" w:type="dxa"/>
              <w:bottom w:w="90" w:type="dxa"/>
              <w:end w:w="120" w:type="dxa"/>
            </w:tcMar>
            <w:vAlign w:val="top"/>
            <w:shd w:fill="F7FAF9"/>
          </w:tcPr>
          <w:p>
            <w:pPr>
              <w:spacing w:after="40" w:line="264" w:lineRule="auto"/>
            </w:pPr>
            <w:r>
              <w:rPr>
                <w:rFonts w:ascii="Calibri" w:hAnsi="Calibri"/>
                <w:color w:val="173B4D"/>
                <w:sz w:val="17"/>
              </w:rPr>
              <w:t>D-04</w:t>
            </w:r>
          </w:p>
        </w:tc>
        <w:tc>
          <w:tcPr>
            <w:tcW w:type="dxa" w:w="3968"/>
            <w:tcMar>
              <w:top w:w="90" w:type="dxa"/>
              <w:start w:w="120" w:type="dxa"/>
              <w:bottom w:w="90" w:type="dxa"/>
              <w:end w:w="120" w:type="dxa"/>
            </w:tcMar>
            <w:vAlign w:val="top"/>
            <w:shd w:fill="F7FAF9"/>
          </w:tcPr>
          <w:p>
            <w:pPr>
              <w:spacing w:after="40" w:line="264" w:lineRule="auto"/>
            </w:pPr>
            <w:r>
              <w:rPr>
                <w:rFonts w:ascii="Calibri" w:hAnsi="Calibri"/>
                <w:color w:val="173B4D"/>
                <w:sz w:val="17"/>
              </w:rPr>
              <w:t>Conservar visualizaciones realistas como apoyo de comprensión.</w:t>
            </w:r>
          </w:p>
        </w:tc>
        <w:tc>
          <w:tcPr>
            <w:tcW w:type="dxa" w:w="4535"/>
            <w:tcMar>
              <w:top w:w="90" w:type="dxa"/>
              <w:start w:w="120" w:type="dxa"/>
              <w:bottom w:w="90" w:type="dxa"/>
              <w:end w:w="120" w:type="dxa"/>
            </w:tcMar>
            <w:vAlign w:val="top"/>
            <w:shd w:fill="F7FAF9"/>
          </w:tcPr>
          <w:p>
            <w:pPr>
              <w:spacing w:after="40" w:line="264" w:lineRule="auto"/>
            </w:pPr>
            <w:r>
              <w:rPr>
                <w:rFonts w:ascii="Calibri" w:hAnsi="Calibri"/>
                <w:color w:val="173B4D"/>
                <w:sz w:val="17"/>
              </w:rPr>
              <w:t>Cada imagen llevará versión, ubicación y nota de carácter conceptual.</w:t>
            </w:r>
          </w:p>
        </w:tc>
      </w:tr>
    </w:tbl>
    <w:p>
      <w:pPr>
        <w:spacing w:after="40"/>
      </w:pPr>
    </w:p>
    <w:p>
      <w:pPr>
        <w:pStyle w:val="Heading2"/>
      </w:pPr>
      <w:r>
        <w:rPr>
          <w:rFonts w:ascii="Calibri" w:hAnsi="Calibri"/>
        </w:rPr>
        <w:t>7.2 Hipótesis que necesitan comprobación</w:t>
      </w:r>
    </w:p>
    <w:tbl>
      <w:tblPr>
        <w:tblW w:type="auto" w:w="0"/>
        <w:tblLook w:firstColumn="1" w:firstRow="1" w:lastColumn="0" w:lastRow="0" w:noHBand="0" w:noVBand="1" w:val="04A0"/>
        <w:jc w:val="center"/>
        <w:tblLayout w:type="fixed"/>
      </w:tblPr>
      <w:tblGrid>
        <w:gridCol w:w="1133"/>
        <w:gridCol w:w="3968"/>
        <w:gridCol w:w="4535"/>
      </w:tblGrid>
      <w:tr>
        <w:trPr>
          <w:tblHeader w:val="true"/>
        </w:trPr>
        <w:tc>
          <w:tcPr>
            <w:tcW w:type="dxa" w:w="1133"/>
            <w:shd w:fill="123E4C"/>
            <w:tcMar>
              <w:top w:w="90" w:type="dxa"/>
              <w:start w:w="120" w:type="dxa"/>
              <w:bottom w:w="90" w:type="dxa"/>
              <w:end w:w="120" w:type="dxa"/>
            </w:tcMar>
            <w:vAlign w:val="center"/>
          </w:tcPr>
          <w:p>
            <w:pPr>
              <w:spacing w:after="0"/>
            </w:pPr>
            <w:r>
              <w:rPr>
                <w:rFonts w:ascii="Calibri" w:hAnsi="Calibri"/>
                <w:b/>
                <w:color w:val="FFFFFF"/>
                <w:sz w:val="17"/>
              </w:rPr>
              <w:t>ID</w:t>
            </w:r>
          </w:p>
        </w:tc>
        <w:tc>
          <w:tcPr>
            <w:tcW w:type="dxa" w:w="3968"/>
            <w:shd w:fill="123E4C"/>
            <w:tcMar>
              <w:top w:w="90" w:type="dxa"/>
              <w:start w:w="120" w:type="dxa"/>
              <w:bottom w:w="90" w:type="dxa"/>
              <w:end w:w="120" w:type="dxa"/>
            </w:tcMar>
            <w:vAlign w:val="center"/>
          </w:tcPr>
          <w:p>
            <w:pPr>
              <w:spacing w:after="0"/>
            </w:pPr>
            <w:r>
              <w:rPr>
                <w:rFonts w:ascii="Calibri" w:hAnsi="Calibri"/>
                <w:b/>
                <w:color w:val="FFFFFF"/>
                <w:sz w:val="17"/>
              </w:rPr>
              <w:t>Hipótesis</w:t>
            </w:r>
          </w:p>
        </w:tc>
        <w:tc>
          <w:tcPr>
            <w:tcW w:type="dxa" w:w="4535"/>
            <w:shd w:fill="123E4C"/>
            <w:tcMar>
              <w:top w:w="90" w:type="dxa"/>
              <w:start w:w="120" w:type="dxa"/>
              <w:bottom w:w="90" w:type="dxa"/>
              <w:end w:w="120" w:type="dxa"/>
            </w:tcMar>
            <w:vAlign w:val="center"/>
          </w:tcPr>
          <w:p>
            <w:pPr>
              <w:spacing w:after="0"/>
            </w:pPr>
            <w:r>
              <w:rPr>
                <w:rFonts w:ascii="Calibri" w:hAnsi="Calibri"/>
                <w:b/>
                <w:color w:val="FFFFFF"/>
                <w:sz w:val="17"/>
              </w:rPr>
              <w:t>Verificación necesaria</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H-01</w:t>
            </w:r>
          </w:p>
        </w:tc>
        <w:tc>
          <w:tcPr>
            <w:tcW w:type="dxa" w:w="3968"/>
            <w:tcMar>
              <w:top w:w="90" w:type="dxa"/>
              <w:start w:w="120" w:type="dxa"/>
              <w:bottom w:w="90" w:type="dxa"/>
              <w:end w:w="120" w:type="dxa"/>
            </w:tcMar>
            <w:vAlign w:val="top"/>
          </w:tcPr>
          <w:p>
            <w:pPr>
              <w:spacing w:after="40" w:line="264" w:lineRule="auto"/>
            </w:pPr>
            <w:r>
              <w:rPr>
                <w:rFonts w:ascii="Calibri" w:hAnsi="Calibri"/>
                <w:color w:val="173B4D"/>
                <w:sz w:val="17"/>
              </w:rPr>
              <w:t>La solución Oeste minimiza la afección directa a vivienda y parcela respecto a alternativas de superficie.</w:t>
            </w:r>
          </w:p>
        </w:tc>
        <w:tc>
          <w:tcPr>
            <w:tcW w:type="dxa" w:w="4535"/>
            <w:tcMar>
              <w:top w:w="90" w:type="dxa"/>
              <w:start w:w="120" w:type="dxa"/>
              <w:bottom w:w="90" w:type="dxa"/>
              <w:end w:w="120" w:type="dxa"/>
            </w:tcMar>
            <w:vAlign w:val="top"/>
          </w:tcPr>
          <w:p>
            <w:pPr>
              <w:spacing w:after="40" w:line="264" w:lineRule="auto"/>
            </w:pPr>
            <w:r>
              <w:rPr>
                <w:rFonts w:ascii="Calibri" w:hAnsi="Calibri"/>
                <w:color w:val="173B4D"/>
                <w:sz w:val="17"/>
              </w:rPr>
              <w:t>Cartografía parcelaria, estudio de afecciones y anteproyecto.</w:t>
            </w:r>
          </w:p>
        </w:tc>
      </w:tr>
      <w:tr>
        <w:tc>
          <w:tcPr>
            <w:tcW w:type="dxa" w:w="1133"/>
            <w:tcMar>
              <w:top w:w="90" w:type="dxa"/>
              <w:start w:w="120" w:type="dxa"/>
              <w:bottom w:w="90" w:type="dxa"/>
              <w:end w:w="120" w:type="dxa"/>
            </w:tcMar>
            <w:vAlign w:val="top"/>
            <w:shd w:fill="F7FAF9"/>
          </w:tcPr>
          <w:p>
            <w:pPr>
              <w:spacing w:after="40" w:line="264" w:lineRule="auto"/>
            </w:pPr>
            <w:r>
              <w:rPr>
                <w:rFonts w:ascii="Calibri" w:hAnsi="Calibri"/>
                <w:color w:val="173B4D"/>
                <w:sz w:val="17"/>
              </w:rPr>
              <w:t>H-02</w:t>
            </w:r>
          </w:p>
        </w:tc>
        <w:tc>
          <w:tcPr>
            <w:tcW w:type="dxa" w:w="3968"/>
            <w:tcMar>
              <w:top w:w="90" w:type="dxa"/>
              <w:start w:w="120" w:type="dxa"/>
              <w:bottom w:w="90" w:type="dxa"/>
              <w:end w:w="120" w:type="dxa"/>
            </w:tcMar>
            <w:vAlign w:val="top"/>
            <w:shd w:fill="F7FAF9"/>
          </w:tcPr>
          <w:p>
            <w:pPr>
              <w:spacing w:after="40" w:line="264" w:lineRule="auto"/>
            </w:pPr>
            <w:r>
              <w:rPr>
                <w:rFonts w:ascii="Calibri" w:hAnsi="Calibri"/>
                <w:color w:val="173B4D"/>
                <w:sz w:val="17"/>
              </w:rPr>
              <w:t>La alternativa Oeste permite una recuperación urbana más intensa de la travesía.</w:t>
            </w:r>
          </w:p>
        </w:tc>
        <w:tc>
          <w:tcPr>
            <w:tcW w:type="dxa" w:w="4535"/>
            <w:tcMar>
              <w:top w:w="90" w:type="dxa"/>
              <w:start w:w="120" w:type="dxa"/>
              <w:bottom w:w="90" w:type="dxa"/>
              <w:end w:w="120" w:type="dxa"/>
            </w:tcMar>
            <w:vAlign w:val="top"/>
            <w:shd w:fill="F7FAF9"/>
          </w:tcPr>
          <w:p>
            <w:pPr>
              <w:spacing w:after="40" w:line="264" w:lineRule="auto"/>
            </w:pPr>
            <w:r>
              <w:rPr>
                <w:rFonts w:ascii="Calibri" w:hAnsi="Calibri"/>
                <w:color w:val="173B4D"/>
                <w:sz w:val="17"/>
              </w:rPr>
              <w:t>Aforos, modelo de tráfico, diseño de travesía y participación.</w:t>
            </w:r>
          </w:p>
        </w:tc>
      </w:tr>
      <w:tr>
        <w:tc>
          <w:tcPr>
            <w:tcW w:type="dxa" w:w="1133"/>
            <w:tcMar>
              <w:top w:w="90" w:type="dxa"/>
              <w:start w:w="120" w:type="dxa"/>
              <w:bottom w:w="90" w:type="dxa"/>
              <w:end w:w="120" w:type="dxa"/>
            </w:tcMar>
            <w:vAlign w:val="top"/>
          </w:tcPr>
          <w:p>
            <w:pPr>
              <w:spacing w:after="40" w:line="264" w:lineRule="auto"/>
            </w:pPr>
            <w:r>
              <w:rPr>
                <w:rFonts w:ascii="Calibri" w:hAnsi="Calibri"/>
                <w:color w:val="173B4D"/>
                <w:sz w:val="17"/>
              </w:rPr>
              <w:t>H-03</w:t>
            </w:r>
          </w:p>
        </w:tc>
        <w:tc>
          <w:tcPr>
            <w:tcW w:type="dxa" w:w="3968"/>
            <w:tcMar>
              <w:top w:w="90" w:type="dxa"/>
              <w:start w:w="120" w:type="dxa"/>
              <w:bottom w:w="90" w:type="dxa"/>
              <w:end w:w="120" w:type="dxa"/>
            </w:tcMar>
            <w:vAlign w:val="top"/>
          </w:tcPr>
          <w:p>
            <w:pPr>
              <w:spacing w:after="40" w:line="264" w:lineRule="auto"/>
            </w:pPr>
            <w:r>
              <w:rPr>
                <w:rFonts w:ascii="Calibri" w:hAnsi="Calibri"/>
                <w:color w:val="173B4D"/>
                <w:sz w:val="17"/>
              </w:rPr>
              <w:t>La Solución Este E6b puede resolver el cruce estructural y su conexión a A-2612 con una geometría y afección asumibles.</w:t>
            </w:r>
          </w:p>
        </w:tc>
        <w:tc>
          <w:tcPr>
            <w:tcW w:type="dxa" w:w="4535"/>
            <w:tcMar>
              <w:top w:w="90" w:type="dxa"/>
              <w:start w:w="120" w:type="dxa"/>
              <w:bottom w:w="90" w:type="dxa"/>
              <w:end w:w="120" w:type="dxa"/>
            </w:tcMar>
            <w:vAlign w:val="top"/>
          </w:tcPr>
          <w:p>
            <w:pPr>
              <w:spacing w:after="40" w:line="264" w:lineRule="auto"/>
            </w:pPr>
            <w:r>
              <w:rPr>
                <w:rFonts w:ascii="Calibri" w:hAnsi="Calibri"/>
                <w:color w:val="173B4D"/>
                <w:sz w:val="17"/>
              </w:rPr>
              <w:t>Topografía, tráfico, hidráulica, cimentaciones y diseño de enlace.</w:t>
            </w:r>
          </w:p>
        </w:tc>
      </w:tr>
      <w:tr>
        <w:tc>
          <w:tcPr>
            <w:tcW w:type="dxa" w:w="1133"/>
            <w:tcMar>
              <w:top w:w="90" w:type="dxa"/>
              <w:start w:w="120" w:type="dxa"/>
              <w:bottom w:w="90" w:type="dxa"/>
              <w:end w:w="120" w:type="dxa"/>
            </w:tcMar>
            <w:vAlign w:val="top"/>
            <w:shd w:fill="F7FAF9"/>
          </w:tcPr>
          <w:p>
            <w:pPr>
              <w:spacing w:after="40" w:line="264" w:lineRule="auto"/>
            </w:pPr>
            <w:r>
              <w:rPr>
                <w:rFonts w:ascii="Calibri" w:hAnsi="Calibri"/>
                <w:color w:val="173B4D"/>
                <w:sz w:val="17"/>
              </w:rPr>
              <w:t>H-04</w:t>
            </w:r>
          </w:p>
        </w:tc>
        <w:tc>
          <w:tcPr>
            <w:tcW w:type="dxa" w:w="3968"/>
            <w:tcMar>
              <w:top w:w="90" w:type="dxa"/>
              <w:start w:w="120" w:type="dxa"/>
              <w:bottom w:w="90" w:type="dxa"/>
              <w:end w:w="120" w:type="dxa"/>
            </w:tcMar>
            <w:vAlign w:val="top"/>
            <w:shd w:fill="F7FAF9"/>
          </w:tcPr>
          <w:p>
            <w:pPr>
              <w:spacing w:after="40" w:line="264" w:lineRule="auto"/>
            </w:pPr>
            <w:r>
              <w:rPr>
                <w:rFonts w:ascii="Calibri" w:hAnsi="Calibri"/>
                <w:color w:val="173B4D"/>
                <w:sz w:val="17"/>
              </w:rPr>
              <w:t>La reorganización de la travesía puede mantener la accesibilidad cotidiana.</w:t>
            </w:r>
          </w:p>
        </w:tc>
        <w:tc>
          <w:tcPr>
            <w:tcW w:type="dxa" w:w="4535"/>
            <w:tcMar>
              <w:top w:w="90" w:type="dxa"/>
              <w:start w:w="120" w:type="dxa"/>
              <w:bottom w:w="90" w:type="dxa"/>
              <w:end w:w="120" w:type="dxa"/>
            </w:tcMar>
            <w:vAlign w:val="top"/>
            <w:shd w:fill="F7FAF9"/>
          </w:tcPr>
          <w:p>
            <w:pPr>
              <w:spacing w:after="40" w:line="264" w:lineRule="auto"/>
            </w:pPr>
            <w:r>
              <w:rPr>
                <w:rFonts w:ascii="Calibri" w:hAnsi="Calibri"/>
                <w:color w:val="173B4D"/>
                <w:sz w:val="17"/>
              </w:rPr>
              <w:t>Inventario de accesos, logística, movilidad reducida y servicios de emergencia.</w:t>
            </w:r>
          </w:p>
        </w:tc>
      </w:tr>
    </w:tbl>
    <w:p>
      <w:pPr>
        <w:spacing w:after="40"/>
      </w:pPr>
    </w:p>
    <w:p>
      <w:pPr>
        <w:pStyle w:val="Heading2"/>
      </w:pPr>
      <w:r>
        <w:rPr>
          <w:rFonts w:ascii="Calibri" w:hAnsi="Calibri"/>
        </w:rPr>
        <w:t>7.3 Preguntas abiertas prioritarias</w:t>
      </w:r>
    </w:p>
    <w:p>
      <w:pPr>
        <w:spacing w:after="80" w:line="290" w:lineRule="auto"/>
        <w:ind w:left="369" w:hanging="255"/>
      </w:pPr>
      <w:r>
        <w:rPr>
          <w:rFonts w:ascii="Calibri" w:hAnsi="Calibri"/>
          <w:b/>
          <w:color w:val="007E69"/>
          <w:sz w:val="22"/>
        </w:rPr>
        <w:t xml:space="preserve">•  </w:t>
      </w:r>
      <w:r>
        <w:rPr>
          <w:rFonts w:ascii="Calibri" w:hAnsi="Calibri"/>
          <w:color w:val="173B4D"/>
          <w:sz w:val="22"/>
        </w:rPr>
        <w:t>¿Qué condiciones geológicas e hidrogeológicas reales presenta el corredor Oeste y cómo modifican coste, plazo y seguridad?</w:t>
      </w:r>
    </w:p>
    <w:p>
      <w:pPr>
        <w:spacing w:after="80" w:line="290" w:lineRule="auto"/>
        <w:ind w:left="369" w:hanging="255"/>
      </w:pPr>
      <w:r>
        <w:rPr>
          <w:rFonts w:ascii="Calibri" w:hAnsi="Calibri"/>
          <w:b/>
          <w:color w:val="007E69"/>
          <w:sz w:val="22"/>
        </w:rPr>
        <w:t xml:space="preserve">•  </w:t>
      </w:r>
      <w:r>
        <w:rPr>
          <w:rFonts w:ascii="Calibri" w:hAnsi="Calibri"/>
          <w:color w:val="173B4D"/>
          <w:sz w:val="22"/>
        </w:rPr>
        <w:t>¿Cuál es el patrón actual de tráfico de paso, pesado, escolar, comercial y estacional; y qué cambio es razonable esperar?</w:t>
      </w:r>
    </w:p>
    <w:p>
      <w:pPr>
        <w:spacing w:after="80" w:line="290" w:lineRule="auto"/>
        <w:ind w:left="369" w:hanging="255"/>
      </w:pPr>
      <w:r>
        <w:rPr>
          <w:rFonts w:ascii="Calibri" w:hAnsi="Calibri"/>
          <w:b/>
          <w:color w:val="007E69"/>
          <w:sz w:val="22"/>
        </w:rPr>
        <w:t xml:space="preserve">•  </w:t>
      </w:r>
      <w:r>
        <w:rPr>
          <w:rFonts w:ascii="Calibri" w:hAnsi="Calibri"/>
          <w:color w:val="173B4D"/>
          <w:sz w:val="22"/>
        </w:rPr>
        <w:t>¿Qué valores hidráulicos, ambientales, patrimoniales y paisajísticos condicionan cada alternativa?</w:t>
      </w:r>
    </w:p>
    <w:p>
      <w:pPr>
        <w:spacing w:after="80" w:line="290" w:lineRule="auto"/>
        <w:ind w:left="369" w:hanging="255"/>
      </w:pPr>
      <w:r>
        <w:rPr>
          <w:rFonts w:ascii="Calibri" w:hAnsi="Calibri"/>
          <w:b/>
          <w:color w:val="007E69"/>
          <w:sz w:val="22"/>
        </w:rPr>
        <w:t xml:space="preserve">•  </w:t>
      </w:r>
      <w:r>
        <w:rPr>
          <w:rFonts w:ascii="Calibri" w:hAnsi="Calibri"/>
          <w:color w:val="173B4D"/>
          <w:sz w:val="22"/>
        </w:rPr>
        <w:t>¿Cuál es el rango económico comparable de la alternativa Este al incorporar puentes, medidas correctoras, expropiaciones y reposiciones?</w:t>
      </w:r>
    </w:p>
    <w:p>
      <w:pPr>
        <w:spacing w:after="80" w:line="290" w:lineRule="auto"/>
        <w:ind w:left="369" w:hanging="255"/>
      </w:pPr>
      <w:r>
        <w:rPr>
          <w:rFonts w:ascii="Calibri" w:hAnsi="Calibri"/>
          <w:b/>
          <w:color w:val="007E69"/>
          <w:sz w:val="22"/>
        </w:rPr>
        <w:t xml:space="preserve">•  </w:t>
      </w:r>
      <w:r>
        <w:rPr>
          <w:rFonts w:ascii="Calibri" w:hAnsi="Calibri"/>
          <w:color w:val="173B4D"/>
          <w:sz w:val="22"/>
        </w:rPr>
        <w:t>¿Qué sección y esquema de circulación hacen posible una travesía accesible sin dañar actividad, logística y servicios?</w:t>
      </w:r>
    </w:p>
    <w:p>
      <w:pPr>
        <w:pStyle w:val="Heading1"/>
      </w:pPr>
      <w:r>
        <w:rPr>
          <w:rFonts w:ascii="Calibri" w:hAnsi="Calibri"/>
        </w:rPr>
        <w:t>8. Hoja de ruta para la fase siguiente</w:t>
      </w:r>
    </w:p>
    <w:p>
      <w:r>
        <w:rPr>
          <w:rFonts w:ascii="Calibri" w:hAnsi="Calibri"/>
        </w:rPr>
        <w:t>La revisión de este documento debe cerrar el marco de trabajo, no la solución técnica. Tras esa revisión, la fase siguiente deberá transformar el material existente en estudios comparables y una plataforma única de proyecto.</w:t>
      </w:r>
    </w:p>
    <w:tbl>
      <w:tblPr>
        <w:tblW w:type="auto" w:w="0"/>
        <w:tblLook w:firstColumn="1" w:firstRow="1" w:lastColumn="0" w:lastRow="0" w:noHBand="0" w:noVBand="1" w:val="04A0"/>
        <w:jc w:val="center"/>
        <w:tblLayout w:type="fixed"/>
      </w:tblPr>
      <w:tblGrid>
        <w:gridCol w:w="1927"/>
        <w:gridCol w:w="5669"/>
        <w:gridCol w:w="2040"/>
      </w:tblGrid>
      <w:tr>
        <w:trPr>
          <w:tblHeader w:val="true"/>
        </w:trPr>
        <w:tc>
          <w:tcPr>
            <w:tcW w:type="dxa" w:w="1927"/>
            <w:shd w:fill="123E4C"/>
            <w:tcMar>
              <w:top w:w="90" w:type="dxa"/>
              <w:start w:w="120" w:type="dxa"/>
              <w:bottom w:w="90" w:type="dxa"/>
              <w:end w:w="120" w:type="dxa"/>
            </w:tcMar>
            <w:vAlign w:val="center"/>
          </w:tcPr>
          <w:p>
            <w:pPr>
              <w:spacing w:after="0"/>
            </w:pPr>
            <w:r>
              <w:rPr>
                <w:rFonts w:ascii="Calibri" w:hAnsi="Calibri"/>
                <w:b/>
                <w:color w:val="FFFFFF"/>
                <w:sz w:val="17"/>
              </w:rPr>
              <w:t>Fase</w:t>
            </w:r>
          </w:p>
        </w:tc>
        <w:tc>
          <w:tcPr>
            <w:tcW w:type="dxa" w:w="5669"/>
            <w:shd w:fill="123E4C"/>
            <w:tcMar>
              <w:top w:w="90" w:type="dxa"/>
              <w:start w:w="120" w:type="dxa"/>
              <w:bottom w:w="90" w:type="dxa"/>
              <w:end w:w="120" w:type="dxa"/>
            </w:tcMar>
            <w:vAlign w:val="center"/>
          </w:tcPr>
          <w:p>
            <w:pPr>
              <w:spacing w:after="0"/>
            </w:pPr>
            <w:r>
              <w:rPr>
                <w:rFonts w:ascii="Calibri" w:hAnsi="Calibri"/>
                <w:b/>
                <w:color w:val="FFFFFF"/>
                <w:sz w:val="17"/>
              </w:rPr>
              <w:t>Resultado principal</w:t>
            </w:r>
          </w:p>
        </w:tc>
        <w:tc>
          <w:tcPr>
            <w:tcW w:type="dxa" w:w="2040"/>
            <w:shd w:fill="123E4C"/>
            <w:tcMar>
              <w:top w:w="90" w:type="dxa"/>
              <w:start w:w="120" w:type="dxa"/>
              <w:bottom w:w="90" w:type="dxa"/>
              <w:end w:w="120" w:type="dxa"/>
            </w:tcMar>
            <w:vAlign w:val="center"/>
          </w:tcPr>
          <w:p>
            <w:pPr>
              <w:spacing w:after="0"/>
            </w:pPr>
            <w:r>
              <w:rPr>
                <w:rFonts w:ascii="Calibri" w:hAnsi="Calibri"/>
                <w:b/>
                <w:color w:val="FFFFFF"/>
                <w:sz w:val="17"/>
              </w:rPr>
              <w:t>Prioridad</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1. Revisión del Documento Maestro</w:t>
            </w:r>
          </w:p>
        </w:tc>
        <w:tc>
          <w:tcPr>
            <w:tcW w:type="dxa" w:w="5669"/>
            <w:tcMar>
              <w:top w:w="90" w:type="dxa"/>
              <w:start w:w="120" w:type="dxa"/>
              <w:bottom w:w="90" w:type="dxa"/>
              <w:end w:w="120" w:type="dxa"/>
            </w:tcMar>
            <w:vAlign w:val="top"/>
          </w:tcPr>
          <w:p>
            <w:pPr>
              <w:spacing w:after="40" w:line="264" w:lineRule="auto"/>
            </w:pPr>
            <w:r>
              <w:rPr>
                <w:rFonts w:ascii="Calibri" w:hAnsi="Calibri"/>
                <w:color w:val="173B4D"/>
                <w:sz w:val="17"/>
              </w:rPr>
              <w:t>Ajuste de visión, alcance, nomenclatura, alternativas y lista de asuntos críticos.</w:t>
            </w:r>
          </w:p>
        </w:tc>
        <w:tc>
          <w:tcPr>
            <w:tcW w:type="dxa" w:w="2040"/>
            <w:tcMar>
              <w:top w:w="90" w:type="dxa"/>
              <w:start w:w="120" w:type="dxa"/>
              <w:bottom w:w="90" w:type="dxa"/>
              <w:end w:w="120" w:type="dxa"/>
            </w:tcMar>
            <w:vAlign w:val="top"/>
          </w:tcPr>
          <w:p>
            <w:pPr>
              <w:spacing w:after="40" w:line="264" w:lineRule="auto"/>
            </w:pPr>
            <w:r>
              <w:rPr>
                <w:rFonts w:ascii="Calibri" w:hAnsi="Calibri"/>
                <w:color w:val="173B4D"/>
                <w:sz w:val="17"/>
              </w:rPr>
              <w:t>Inmediata</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2. Sistema de conocimiento / Skill</w:t>
            </w:r>
          </w:p>
        </w:tc>
        <w:tc>
          <w:tcPr>
            <w:tcW w:type="dxa" w:w="5669"/>
            <w:tcMar>
              <w:top w:w="90" w:type="dxa"/>
              <w:start w:w="120" w:type="dxa"/>
              <w:bottom w:w="90" w:type="dxa"/>
              <w:end w:w="120" w:type="dxa"/>
            </w:tcMar>
            <w:vAlign w:val="top"/>
            <w:shd w:fill="F7FAF9"/>
          </w:tcPr>
          <w:p>
            <w:pPr>
              <w:spacing w:after="40" w:line="264" w:lineRule="auto"/>
            </w:pPr>
            <w:r>
              <w:rPr>
                <w:rFonts w:ascii="Calibri" w:hAnsi="Calibri"/>
                <w:color w:val="173B4D"/>
                <w:sz w:val="17"/>
              </w:rPr>
              <w:t>Procedimiento reutilizable para nombrar, guardar, revisar y actualizar documentos, planos, imágenes y registros.</w:t>
            </w:r>
          </w:p>
        </w:tc>
        <w:tc>
          <w:tcPr>
            <w:tcW w:type="dxa" w:w="2040"/>
            <w:tcMar>
              <w:top w:w="90" w:type="dxa"/>
              <w:start w:w="120" w:type="dxa"/>
              <w:bottom w:w="90" w:type="dxa"/>
              <w:end w:w="120" w:type="dxa"/>
            </w:tcMar>
            <w:vAlign w:val="top"/>
            <w:shd w:fill="F7FAF9"/>
          </w:tcPr>
          <w:p>
            <w:pPr>
              <w:spacing w:after="40" w:line="264" w:lineRule="auto"/>
            </w:pPr>
            <w:r>
              <w:rPr>
                <w:rFonts w:ascii="Calibri" w:hAnsi="Calibri"/>
                <w:color w:val="173B4D"/>
                <w:sz w:val="17"/>
              </w:rPr>
              <w:t>Tras la revisión</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3. Site del proyecto</w:t>
            </w:r>
          </w:p>
        </w:tc>
        <w:tc>
          <w:tcPr>
            <w:tcW w:type="dxa" w:w="5669"/>
            <w:tcMar>
              <w:top w:w="90" w:type="dxa"/>
              <w:start w:w="120" w:type="dxa"/>
              <w:bottom w:w="90" w:type="dxa"/>
              <w:end w:w="120" w:type="dxa"/>
            </w:tcMar>
            <w:vAlign w:val="top"/>
          </w:tcPr>
          <w:p>
            <w:pPr>
              <w:spacing w:after="40" w:line="264" w:lineRule="auto"/>
            </w:pPr>
            <w:r>
              <w:rPr>
                <w:rFonts w:ascii="Calibri" w:hAnsi="Calibri"/>
                <w:color w:val="173B4D"/>
                <w:sz w:val="17"/>
              </w:rPr>
              <w:t>Repositorio navegable que muestre el proyecto, fuentes, alternativas, visualizaciones, estado y documentos vigentes.</w:t>
            </w:r>
          </w:p>
        </w:tc>
        <w:tc>
          <w:tcPr>
            <w:tcW w:type="dxa" w:w="2040"/>
            <w:tcMar>
              <w:top w:w="90" w:type="dxa"/>
              <w:start w:w="120" w:type="dxa"/>
              <w:bottom w:w="90" w:type="dxa"/>
              <w:end w:w="120" w:type="dxa"/>
            </w:tcMar>
            <w:vAlign w:val="top"/>
          </w:tcPr>
          <w:p>
            <w:pPr>
              <w:spacing w:after="40" w:line="264" w:lineRule="auto"/>
            </w:pPr>
            <w:r>
              <w:rPr>
                <w:rFonts w:ascii="Calibri" w:hAnsi="Calibri"/>
                <w:color w:val="173B4D"/>
                <w:sz w:val="17"/>
              </w:rPr>
              <w:t>Después de aprobar la Skill</w:t>
            </w:r>
          </w:p>
        </w:tc>
      </w:tr>
      <w:tr>
        <w:tc>
          <w:tcPr>
            <w:tcW w:type="dxa" w:w="1927"/>
            <w:tcMar>
              <w:top w:w="90" w:type="dxa"/>
              <w:start w:w="120" w:type="dxa"/>
              <w:bottom w:w="90" w:type="dxa"/>
              <w:end w:w="120" w:type="dxa"/>
            </w:tcMar>
            <w:vAlign w:val="top"/>
            <w:shd w:fill="F7FAF9"/>
          </w:tcPr>
          <w:p>
            <w:pPr>
              <w:spacing w:after="40" w:line="264" w:lineRule="auto"/>
            </w:pPr>
            <w:r>
              <w:rPr>
                <w:rFonts w:ascii="Calibri" w:hAnsi="Calibri"/>
                <w:color w:val="173B4D"/>
                <w:sz w:val="17"/>
              </w:rPr>
              <w:t>4. Base técnica comparativa</w:t>
            </w:r>
          </w:p>
        </w:tc>
        <w:tc>
          <w:tcPr>
            <w:tcW w:type="dxa" w:w="5669"/>
            <w:tcMar>
              <w:top w:w="90" w:type="dxa"/>
              <w:start w:w="120" w:type="dxa"/>
              <w:bottom w:w="90" w:type="dxa"/>
              <w:end w:w="120" w:type="dxa"/>
            </w:tcMar>
            <w:vAlign w:val="top"/>
            <w:shd w:fill="F7FAF9"/>
          </w:tcPr>
          <w:p>
            <w:pPr>
              <w:spacing w:after="40" w:line="264" w:lineRule="auto"/>
            </w:pPr>
            <w:r>
              <w:rPr>
                <w:rFonts w:ascii="Calibri" w:hAnsi="Calibri"/>
                <w:color w:val="173B4D"/>
                <w:sz w:val="17"/>
              </w:rPr>
              <w:t>Topografía, tráfico, geotecnia, hidrología, ambiente, patrimonio, costes y anteproyecto de alternativas.</w:t>
            </w:r>
          </w:p>
        </w:tc>
        <w:tc>
          <w:tcPr>
            <w:tcW w:type="dxa" w:w="2040"/>
            <w:tcMar>
              <w:top w:w="90" w:type="dxa"/>
              <w:start w:w="120" w:type="dxa"/>
              <w:bottom w:w="90" w:type="dxa"/>
              <w:end w:w="120" w:type="dxa"/>
            </w:tcMar>
            <w:vAlign w:val="top"/>
            <w:shd w:fill="F7FAF9"/>
          </w:tcPr>
          <w:p>
            <w:pPr>
              <w:spacing w:after="40" w:line="264" w:lineRule="auto"/>
            </w:pPr>
            <w:r>
              <w:rPr>
                <w:rFonts w:ascii="Calibri" w:hAnsi="Calibri"/>
                <w:color w:val="173B4D"/>
                <w:sz w:val="17"/>
              </w:rPr>
              <w:t>Planificar con organismos y especialistas</w:t>
            </w:r>
          </w:p>
        </w:tc>
      </w:tr>
      <w:tr>
        <w:tc>
          <w:tcPr>
            <w:tcW w:type="dxa" w:w="1927"/>
            <w:tcMar>
              <w:top w:w="90" w:type="dxa"/>
              <w:start w:w="120" w:type="dxa"/>
              <w:bottom w:w="90" w:type="dxa"/>
              <w:end w:w="120" w:type="dxa"/>
            </w:tcMar>
            <w:vAlign w:val="top"/>
          </w:tcPr>
          <w:p>
            <w:pPr>
              <w:spacing w:after="40" w:line="264" w:lineRule="auto"/>
            </w:pPr>
            <w:r>
              <w:rPr>
                <w:rFonts w:ascii="Calibri" w:hAnsi="Calibri"/>
                <w:color w:val="173B4D"/>
                <w:sz w:val="17"/>
              </w:rPr>
              <w:t>5. Travesía y participación</w:t>
            </w:r>
          </w:p>
        </w:tc>
        <w:tc>
          <w:tcPr>
            <w:tcW w:type="dxa" w:w="5669"/>
            <w:tcMar>
              <w:top w:w="90" w:type="dxa"/>
              <w:start w:w="120" w:type="dxa"/>
              <w:bottom w:w="90" w:type="dxa"/>
              <w:end w:w="120" w:type="dxa"/>
            </w:tcMar>
            <w:vAlign w:val="top"/>
          </w:tcPr>
          <w:p>
            <w:pPr>
              <w:spacing w:after="40" w:line="264" w:lineRule="auto"/>
            </w:pPr>
            <w:r>
              <w:rPr>
                <w:rFonts w:ascii="Calibri" w:hAnsi="Calibri"/>
                <w:color w:val="173B4D"/>
                <w:sz w:val="17"/>
              </w:rPr>
              <w:t>Diagnóstico de calle, comercio, accesibilidad y cocreación de escenarios urbanos.</w:t>
            </w:r>
          </w:p>
        </w:tc>
        <w:tc>
          <w:tcPr>
            <w:tcW w:type="dxa" w:w="2040"/>
            <w:tcMar>
              <w:top w:w="90" w:type="dxa"/>
              <w:start w:w="120" w:type="dxa"/>
              <w:bottom w:w="90" w:type="dxa"/>
              <w:end w:w="120" w:type="dxa"/>
            </w:tcMar>
            <w:vAlign w:val="top"/>
          </w:tcPr>
          <w:p>
            <w:pPr>
              <w:spacing w:after="40" w:line="264" w:lineRule="auto"/>
            </w:pPr>
            <w:r>
              <w:rPr>
                <w:rFonts w:ascii="Calibri" w:hAnsi="Calibri"/>
                <w:color w:val="173B4D"/>
                <w:sz w:val="17"/>
              </w:rPr>
              <w:t>En paralelo a la base técnica</w:t>
            </w:r>
          </w:p>
        </w:tc>
      </w:tr>
    </w:tbl>
    <w:p>
      <w:pPr>
        <w:spacing w:after="40"/>
      </w:pPr>
    </w:p>
    <w:p>
      <w:pPr>
        <w:pStyle w:val="Heading2"/>
      </w:pPr>
      <w:r>
        <w:rPr>
          <w:rFonts w:ascii="Calibri" w:hAnsi="Calibri"/>
        </w:rPr>
        <w:t>8.1 Criterio para pasar a la Skill y a la Site</w:t>
      </w:r>
    </w:p>
    <w:p>
      <w:r>
        <w:rPr>
          <w:rFonts w:ascii="Calibri" w:hAnsi="Calibri"/>
        </w:rPr>
        <w:t>El Documento Maestro quedará listo para convertirse en Skill cuando el promotor confirme que la visión, la estructura de carpetas, la nomenclatura, las alternativas, los criterios de revisión y las precauciones de publicación reflejan el proyecto. La Site se montará después sobre esta misma base, de modo que no cree una segunda versión del proyecto, sino que publique de forma controlada la versión vigente.</w:t>
      </w: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CIERRE</w:t>
            </w:r>
          </w:p>
          <w:p>
            <w:pPr>
              <w:spacing w:after="0" w:line="283" w:lineRule="auto"/>
            </w:pPr>
            <w:r>
              <w:rPr>
                <w:rFonts w:ascii="Calibri" w:hAnsi="Calibri"/>
                <w:color w:val="173B4D"/>
                <w:sz w:val="20"/>
              </w:rPr>
              <w:t>Este documento propone un orden: primero revisar el marco común; después convertirlo en un método reutilizable; y finalmente construir una Site que permita explicar, actualizar y custodiar todo el proyecto con coherencia.</w:t>
            </w:r>
          </w:p>
        </w:tc>
      </w:tr>
    </w:tbl>
    <w:p>
      <w:pPr>
        <w:spacing w:after="20"/>
      </w:pPr>
    </w:p>
    <w:p>
      <w:pPr>
        <w:pStyle w:val="Heading2"/>
      </w:pPr>
      <w:r>
        <w:rPr>
          <w:rFonts w:ascii="Calibri" w:hAnsi="Calibri"/>
        </w:rPr>
        <w:t>Nota de prudencia</w:t>
      </w:r>
    </w:p>
    <w:p>
      <w:r>
        <w:rPr>
          <w:rFonts w:ascii="Calibri" w:hAnsi="Calibri"/>
        </w:rPr>
        <w:t>El presente documento es un estudio conceptual de trabajo. No constituye proyecto constructivo, decisión administrativa, definición de expropiaciones, declaración de impacto ni compromiso de financiación. Toda propuesta deberá verificarse mediante los estudios y procedimientos que correspondan.</w:t>
      </w:r>
    </w:p>
    <w:p>
      <w:pPr>
        <w:spacing w:after="0"/>
      </w:pPr>
      <w:r>
        <w:rPr>
          <w:rFonts w:ascii="Calibri" w:hAnsi="Calibri"/>
          <w:i/>
          <w:color w:val="567080"/>
          <w:sz w:val="19"/>
        </w:rPr>
        <w:t>Coordinación y supervisión del proyecto: Carlos Puyet Martínez</w:t>
      </w:r>
    </w:p>
    <w:p>
      <w:r>
        <w:br w:type="page"/>
      </w:r>
    </w:p>
    <w:p>
      <w:pPr>
        <w:pStyle w:val="Heading1"/>
      </w:pPr>
      <w:r>
        <w:rPr>
          <w:rFonts w:ascii="Calibri" w:hAnsi="Calibri"/>
        </w:rPr>
        <w:t>Anexo A. Control ejecutivo de regresión y trazabilidad v1.1</w:t>
      </w:r>
    </w:p>
    <w:p>
      <w:pPr>
        <w:spacing w:after="160"/>
      </w:pPr>
      <w:r>
        <w:rPr>
          <w:rFonts w:ascii="Calibri" w:hAnsi="Calibri"/>
        </w:rPr>
        <w:t>Síntesis de control. Este anexo conserva el motivo y la regla de contraste de la corrección, sin duplicar las fichas técnicas que pertenecen a los documentos fuente.</w:t>
      </w:r>
    </w:p>
    <w:p>
      <w:pPr>
        <w:pStyle w:val="Heading2"/>
      </w:pPr>
      <w:r>
        <w:rPr>
          <w:rFonts w:ascii="Calibri" w:hAnsi="Calibri"/>
        </w:rPr>
        <w:t>Qué se perdió en la v1.0 inicial</w:t>
      </w:r>
    </w:p>
    <w:p>
      <w:r>
        <w:rPr>
          <w:rFonts w:ascii="Calibri" w:hAnsi="Calibri"/>
        </w:rPr>
        <w:t>La v1.0 inicial simplificó la narrativa y omitió parte del estado técnico posterior: parámetros completos de Oeste y Este, cautelas asociadas y la distinción operativa entre la Este E6b y los antecedentes B/C. La pérdida fue editorial, no el resultado de una revisión técnica que invalidara aquellos datos.</w:t>
      </w:r>
    </w:p>
    <w:p>
      <w:pPr>
        <w:pStyle w:val="Heading2"/>
      </w:pPr>
      <w:r>
        <w:rPr>
          <w:rFonts w:ascii="Calibri" w:hAnsi="Calibri"/>
        </w:rPr>
        <w:t>Qué se restituye en la v1.1</w:t>
      </w:r>
    </w:p>
    <w:p>
      <w:r>
        <w:rPr>
          <w:rFonts w:ascii="Calibri" w:hAnsi="Calibri"/>
        </w:rPr>
        <w:t>La v1.1 reincorpora los parámetros de trabajo contrastados de Oeste y Este E6b, incluida su condición conceptual y las incertidumbres que requieren estudio. El detalle técnico, la precisión de cálculo y las bases de coste continúan en CMP-010 v0.3, CMP-011 v0.3 y PI-001 v2.2; este Documento Maestro solo los resume para gobernar el proyecto.</w:t>
      </w:r>
    </w:p>
    <w:p>
      <w:pPr>
        <w:pStyle w:val="Heading2"/>
      </w:pPr>
      <w:r>
        <w:rPr>
          <w:rFonts w:ascii="Calibri" w:hAnsi="Calibri"/>
        </w:rPr>
        <w:t>Alternativas vigentes y antecedentes</w:t>
      </w:r>
    </w:p>
    <w:p>
      <w:r>
        <w:rPr>
          <w:rFonts w:ascii="Calibri" w:hAnsi="Calibri"/>
        </w:rPr>
        <w:t>Las dos alternativas vigentes son Oeste y Este E6b. Las denominaciones Este B y Este C se preservan exclusivamente como antecedentes históricos no operativos: no son opciones activas, no entran en comparativas y no deben reaparecer sin identificador, plano y fuente histórica verificable.</w:t>
      </w:r>
    </w:p>
    <w:p>
      <w:pPr>
        <w:pStyle w:val="Heading2"/>
      </w:pPr>
      <w:r>
        <w:rPr>
          <w:rFonts w:ascii="Calibri" w:hAnsi="Calibri"/>
        </w:rPr>
        <w:t>Regla obligatoria de contraste</w:t>
      </w:r>
    </w:p>
    <w:p>
      <w:r>
        <w:rPr>
          <w:rFonts w:ascii="Calibri" w:hAnsi="Calibri"/>
        </w:rPr>
        <w:t>Antes de modificar una cifra, nombre de alternativa o condición técnica, se contrastará con CMP-010 v0.3 (precisión y trazabilidad), CMP-011 v0.3 (síntesis comparativa) y PI-001 v2.2 (coherencia de comunicación). Si no coincide exactamente, se conservará la fuente, se explicará el redondeo o se registrará como hipótesis pendiente de validación; nunca se sustituirá información vigente por documentación histórica.</w:t>
      </w:r>
    </w:p>
    <w:tbl>
      <w:tblPr>
        <w:tblW w:type="auto" w:w="0"/>
        <w:tblLook w:firstColumn="1" w:firstRow="1" w:lastColumn="0" w:lastRow="0" w:noHBand="0" w:noVBand="1" w:val="04A0"/>
        <w:jc w:val="center"/>
        <w:tblLayout w:type="fixed"/>
      </w:tblPr>
      <w:tblGrid>
        <w:gridCol w:w="9637"/>
      </w:tblGrid>
      <w:tr>
        <w:trPr>
          <w:cantSplit/>
        </w:trPr>
        <w:tc>
          <w:tcPr>
            <w:tcW w:type="dxa" w:w="9637"/>
            <w:shd w:fill="F2F7F5"/>
            <w:tcMar>
              <w:top w:w="150" w:type="dxa"/>
              <w:start w:w="180" w:type="dxa"/>
              <w:bottom w:w="150" w:type="dxa"/>
              <w:end w:w="180" w:type="dxa"/>
            </w:tcMar>
          </w:tcPr>
          <w:p>
            <w:pPr>
              <w:spacing w:after="60"/>
            </w:pPr>
            <w:r>
              <w:rPr>
                <w:rFonts w:ascii="Calibri" w:hAnsi="Calibri"/>
                <w:b/>
                <w:color w:val="007E69"/>
                <w:sz w:val="18"/>
              </w:rPr>
              <w:t>ESTADO DOCUMENTAL</w:t>
            </w:r>
          </w:p>
          <w:p>
            <w:pPr>
              <w:spacing w:after="0" w:line="283" w:lineRule="auto"/>
            </w:pPr>
            <w:r>
              <w:rPr>
                <w:rFonts w:ascii="Calibri" w:hAnsi="Calibri"/>
                <w:color w:val="173B4D"/>
                <w:sz w:val="20"/>
              </w:rPr>
              <w:t>La v1.0 inicial queda sustituida y archivada por trazabilidad. Esta v1.1 permanece como TRABAJO INTERNO · PARA-REVISION: no está aprobada, no es vigente ni para firma.</w:t>
            </w:r>
          </w:p>
        </w:tc>
      </w:tr>
    </w:tbl>
    <w:p>
      <w:pPr>
        <w:spacing w:after="20"/>
      </w:pPr>
    </w:p>
    <w:sectPr w:rsidR="00FC693F" w:rsidRPr="0006063C" w:rsidSect="00034616">
      <w:headerReference w:type="default" r:id="rId9"/>
      <w:footerReference w:type="default" r:id="rId10"/>
      <w:pgSz w:w="11906" w:h="16838"/>
      <w:pgMar w:top="1191"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color w:val="567080"/>
        <w:sz w:val="16"/>
      </w:rPr>
      <w:t xml:space="preserve">TRABAJO INTERNO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5" w:space="7" w:color="D6E0DE"/>
      </w:pBdr>
    </w:pPr>
    <w:r>
      <w:rPr>
        <w:rFonts w:ascii="Calibri" w:hAnsi="Calibri"/>
        <w:b/>
        <w:color w:val="567080"/>
        <w:sz w:val="17"/>
      </w:rPr>
      <w:t>PROYECTO ÉSERA 2050  ·  CAPÍTULO I  ·  DOCUMENTO MAESTRO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pPr>
    <w:rPr>
      <w:rFonts w:ascii="Calibri" w:hAnsi="Calibri"/>
      <w:color w:val="173B4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07E6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007E6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B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Caption">
    <w:name w:val="PE Caption"/>
    <w:pPr>
      <w:spacing w:after="120"/>
    </w:pPr>
    <w:rPr>
      <w:rFonts w:ascii="Calibri" w:hAnsi="Calibri"/>
      <w:color w:val="56708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