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before="0" w:after="80"/>
      </w:pPr>
      <w:r>
        <w:rPr>
          <w:rFonts w:ascii="Calibri" w:hAnsi="Calibri"/>
          <w:b/>
          <w:i w:val="0"/>
          <w:color w:val="000000"/>
          <w:sz w:val="44"/>
        </w:rPr>
      </w:r>
      <w:r>
        <w:t>Registro de decisión D-05</w:t>
      </w:r>
    </w:p>
    <w:p>
      <w:pPr>
        <w:spacing w:after="280"/>
      </w:pPr>
      <w:r>
        <w:rPr>
          <w:rFonts w:ascii="Calibri" w:hAnsi="Calibri"/>
          <w:b w:val="0"/>
          <w:i w:val="0"/>
          <w:color w:val="555555"/>
          <w:sz w:val="23"/>
        </w:rPr>
        <w:t>Aprobación de la base documental para crear la Skill de Variante de Graus</w:t>
      </w:r>
    </w:p>
    <w:tbl>
      <w:tblPr>
        <w:tblStyle w:val="TableGrid"/>
        <w:tblW w:type="dxa" w:w="9000"/>
        <w:jc w:val="center"/>
        <w:tblLook w:firstColumn="1" w:firstRow="1" w:lastColumn="0" w:lastRow="0" w:noHBand="0" w:noVBand="1" w:val="04A0"/>
        <w:tblLayout w:type="fixed"/>
      </w:tblPr>
      <w:tblGrid>
        <w:gridCol w:w="1350"/>
        <w:gridCol w:w="3150"/>
        <w:gridCol w:w="1350"/>
        <w:gridCol w:w="3150"/>
      </w:tblGrid>
      <w:tr>
        <w:tc>
          <w:tcPr>
            <w:tcW w:type="dxa" w:w="1350"/>
            <w:tcMar>
              <w:top w:w="100" w:type="dxa"/>
              <w:bottom w:w="100" w:type="dxa"/>
              <w:start w:w="140" w:type="dxa"/>
              <w:end w:w="140" w:type="dxa"/>
            </w:tcMar>
            <w:shd w:fill="F2F4F7"/>
            <w:vAlign w:val="center"/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/>
                <w:b/>
                <w:i w:val="0"/>
                <w:color w:val="000000"/>
                <w:sz w:val="19"/>
              </w:rPr>
              <w:t>Código documental</w:t>
            </w:r>
          </w:p>
        </w:tc>
        <w:tc>
          <w:tcPr>
            <w:tcW w:type="dxa" w:w="3150"/>
            <w:tcMar>
              <w:top w:w="100" w:type="dxa"/>
              <w:bottom w:w="100" w:type="dxa"/>
              <w:start w:w="140" w:type="dxa"/>
              <w:end w:w="140" w:type="dxa"/>
            </w:tcMar>
            <w:vAlign w:val="center"/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PE2050-C1-RD-005</w:t>
            </w:r>
          </w:p>
        </w:tc>
        <w:tc>
          <w:tcPr>
            <w:tcW w:type="dxa" w:w="1350"/>
            <w:tcMar>
              <w:top w:w="100" w:type="dxa"/>
              <w:bottom w:w="100" w:type="dxa"/>
              <w:start w:w="140" w:type="dxa"/>
              <w:end w:w="140" w:type="dxa"/>
            </w:tcMar>
            <w:shd w:fill="F2F4F7"/>
            <w:vAlign w:val="center"/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/>
                <w:b/>
                <w:i w:val="0"/>
                <w:color w:val="000000"/>
                <w:sz w:val="19"/>
              </w:rPr>
              <w:t>Versión</w:t>
            </w:r>
          </w:p>
        </w:tc>
        <w:tc>
          <w:tcPr>
            <w:tcW w:type="dxa" w:w="3150"/>
            <w:tcMar>
              <w:top w:w="100" w:type="dxa"/>
              <w:bottom w:w="100" w:type="dxa"/>
              <w:start w:w="140" w:type="dxa"/>
              <w:end w:w="140" w:type="dxa"/>
            </w:tcMar>
            <w:vAlign w:val="center"/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v0.1</w:t>
            </w:r>
          </w:p>
        </w:tc>
      </w:tr>
      <w:tr>
        <w:tc>
          <w:tcPr>
            <w:tcW w:type="dxa" w:w="1350"/>
            <w:tcMar>
              <w:top w:w="100" w:type="dxa"/>
              <w:bottom w:w="100" w:type="dxa"/>
              <w:start w:w="140" w:type="dxa"/>
              <w:end w:w="140" w:type="dxa"/>
            </w:tcMar>
            <w:shd w:fill="F2F4F7"/>
            <w:vAlign w:val="center"/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/>
                <w:b/>
                <w:i w:val="0"/>
                <w:color w:val="000000"/>
                <w:sz w:val="19"/>
              </w:rPr>
              <w:t>Fecha</w:t>
            </w:r>
          </w:p>
        </w:tc>
        <w:tc>
          <w:tcPr>
            <w:tcW w:type="dxa" w:w="3150"/>
            <w:tcMar>
              <w:top w:w="100" w:type="dxa"/>
              <w:bottom w:w="100" w:type="dxa"/>
              <w:start w:w="140" w:type="dxa"/>
              <w:end w:w="140" w:type="dxa"/>
            </w:tcMar>
            <w:vAlign w:val="center"/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05/09/2026</w:t>
            </w:r>
          </w:p>
        </w:tc>
        <w:tc>
          <w:tcPr>
            <w:tcW w:type="dxa" w:w="1350"/>
            <w:tcMar>
              <w:top w:w="100" w:type="dxa"/>
              <w:bottom w:w="100" w:type="dxa"/>
              <w:start w:w="140" w:type="dxa"/>
              <w:end w:w="140" w:type="dxa"/>
            </w:tcMar>
            <w:shd w:fill="F2F4F7"/>
            <w:vAlign w:val="center"/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/>
                <w:b/>
                <w:i w:val="0"/>
                <w:color w:val="000000"/>
                <w:sz w:val="19"/>
              </w:rPr>
              <w:t>Estado</w:t>
            </w:r>
          </w:p>
        </w:tc>
        <w:tc>
          <w:tcPr>
            <w:tcW w:type="dxa" w:w="3150"/>
            <w:tcMar>
              <w:top w:w="100" w:type="dxa"/>
              <w:bottom w:w="100" w:type="dxa"/>
              <w:start w:w="140" w:type="dxa"/>
              <w:end w:w="140" w:type="dxa"/>
            </w:tcMar>
            <w:vAlign w:val="center"/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TRABAJO INTERNO · PARA-FIRMA</w:t>
            </w:r>
          </w:p>
        </w:tc>
      </w:tr>
      <w:tr>
        <w:tc>
          <w:tcPr>
            <w:tcW w:type="dxa" w:w="1350"/>
            <w:tcMar>
              <w:top w:w="100" w:type="dxa"/>
              <w:bottom w:w="100" w:type="dxa"/>
              <w:start w:w="140" w:type="dxa"/>
              <w:end w:w="140" w:type="dxa"/>
            </w:tcMar>
            <w:shd w:fill="F2F4F7"/>
            <w:vAlign w:val="center"/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/>
                <w:b/>
                <w:i w:val="0"/>
                <w:color w:val="000000"/>
                <w:sz w:val="19"/>
              </w:rPr>
              <w:t>Responsable</w:t>
            </w:r>
          </w:p>
        </w:tc>
        <w:tc>
          <w:tcPr>
            <w:tcW w:type="dxa" w:w="3150"/>
            <w:tcMar>
              <w:top w:w="100" w:type="dxa"/>
              <w:bottom w:w="100" w:type="dxa"/>
              <w:start w:w="140" w:type="dxa"/>
              <w:end w:w="140" w:type="dxa"/>
            </w:tcMar>
            <w:vAlign w:val="center"/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Carlos Puyet Martínez · coordinación y revisión documental informativa</w:t>
            </w:r>
          </w:p>
        </w:tc>
        <w:tc>
          <w:tcPr>
            <w:tcW w:type="dxa" w:w="1350"/>
            <w:tcMar>
              <w:top w:w="100" w:type="dxa"/>
              <w:bottom w:w="100" w:type="dxa"/>
              <w:start w:w="140" w:type="dxa"/>
              <w:end w:w="140" w:type="dxa"/>
            </w:tcMar>
            <w:shd w:fill="F2F4F7"/>
            <w:vAlign w:val="center"/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/>
                <w:b/>
                <w:i w:val="0"/>
                <w:color w:val="000000"/>
                <w:sz w:val="19"/>
              </w:rPr>
              <w:t>Decisión</w:t>
            </w:r>
          </w:p>
        </w:tc>
        <w:tc>
          <w:tcPr>
            <w:tcW w:type="dxa" w:w="3150"/>
            <w:tcMar>
              <w:top w:w="100" w:type="dxa"/>
              <w:bottom w:w="100" w:type="dxa"/>
              <w:start w:w="140" w:type="dxa"/>
              <w:end w:w="140" w:type="dxa"/>
            </w:tcMar>
            <w:vAlign w:val="center"/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D-05</w:t>
            </w:r>
          </w:p>
        </w:tc>
      </w:tr>
    </w:tbl>
    <w:p>
      <w:pPr>
        <w:spacing w:before="280" w:after="80"/>
      </w:pPr>
      <w:r>
        <w:rPr>
          <w:rFonts w:ascii="Calibri" w:hAnsi="Calibri"/>
          <w:b/>
          <w:i w:val="0"/>
          <w:color w:val="000000"/>
          <w:sz w:val="26"/>
        </w:rPr>
        <w:t>1. Decisión aprobada</w:t>
      </w:r>
    </w:p>
    <w:p>
      <w:pPr>
        <w:spacing w:before="0" w:after="120" w:line="276" w:lineRule="auto"/>
      </w:pPr>
      <w:r>
        <w:rPr>
          <w:rFonts w:ascii="Calibri" w:hAnsi="Calibri"/>
          <w:b/>
          <w:i w:val="0"/>
          <w:color w:val="222222"/>
          <w:sz w:val="21"/>
        </w:rPr>
        <w:t xml:space="preserve">D-05 — Aprobación de la base documental para crear la Skill. </w:t>
      </w:r>
      <w:r>
        <w:rPr>
          <w:rFonts w:ascii="Calibri" w:hAnsi="Calibri"/>
          <w:b w:val="0"/>
          <w:i w:val="0"/>
          <w:color w:val="222222"/>
          <w:sz w:val="21"/>
        </w:rPr>
        <w:t>Carlos Puyet Martínez aprueba, a efectos de coordinación y revisión documental informativa, el Documento Maestro PE2050-C1-DM-001 v1.1 y el Acta PE2050-C1-AV-001 v0.1 como base documental interna para crear la Skill de Variante de Graus.</w:t>
      </w:r>
    </w:p>
    <w:p>
      <w:pPr>
        <w:spacing w:before="280" w:after="80"/>
      </w:pPr>
      <w:r>
        <w:rPr>
          <w:rFonts w:ascii="Calibri" w:hAnsi="Calibri"/>
          <w:b/>
          <w:i w:val="0"/>
          <w:color w:val="000000"/>
          <w:sz w:val="26"/>
        </w:rPr>
        <w:t>2. Efectos de la aprobación</w:t>
      </w:r>
    </w:p>
    <w:p>
      <w:pPr>
        <w:pStyle w:val="ListBullet"/>
        <w:spacing w:after="60" w:line="264" w:lineRule="auto"/>
      </w:pPr>
      <w:r>
        <w:rPr>
          <w:rFonts w:ascii="Calibri" w:hAnsi="Calibri"/>
          <w:b w:val="0"/>
          <w:i w:val="0"/>
          <w:color w:val="222222"/>
          <w:sz w:val="20"/>
        </w:rPr>
        <w:t>Habilita la creación de la Skill y de su sistema de custodia documental.</w:t>
      </w:r>
    </w:p>
    <w:p>
      <w:pPr>
        <w:pStyle w:val="ListBullet"/>
        <w:spacing w:after="60" w:line="264" w:lineRule="auto"/>
      </w:pPr>
      <w:r>
        <w:rPr>
          <w:rFonts w:ascii="Calibri" w:hAnsi="Calibri"/>
          <w:b w:val="0"/>
          <w:i w:val="0"/>
          <w:color w:val="222222"/>
          <w:sz w:val="20"/>
        </w:rPr>
        <w:t>Mantiene como referencias obligatorias CMP-010 v0.3, CMP-011 v0.3, PI-001 v2.2 y AV-001 v0.1.</w:t>
      </w:r>
    </w:p>
    <w:p>
      <w:pPr>
        <w:pStyle w:val="ListBullet"/>
        <w:spacing w:after="60" w:line="264" w:lineRule="auto"/>
      </w:pPr>
      <w:r>
        <w:rPr>
          <w:rFonts w:ascii="Calibri" w:hAnsi="Calibri"/>
          <w:b w:val="0"/>
          <w:i w:val="0"/>
          <w:color w:val="222222"/>
          <w:sz w:val="20"/>
        </w:rPr>
        <w:t>Exige que cualquier cambio futuro de parámetros, alternativas o fuentes se registre y contraste antes de incorporarse a la Skill.</w:t>
      </w:r>
    </w:p>
    <w:p>
      <w:pPr>
        <w:spacing w:before="280" w:after="80"/>
      </w:pPr>
      <w:r>
        <w:rPr>
          <w:rFonts w:ascii="Calibri" w:hAnsi="Calibri"/>
          <w:b/>
          <w:i w:val="0"/>
          <w:color w:val="000000"/>
          <w:sz w:val="26"/>
        </w:rPr>
        <w:t>3. Límites expresos</w:t>
      </w:r>
    </w:p>
    <w:p>
      <w:pPr>
        <w:pStyle w:val="ListBullet"/>
        <w:spacing w:after="60" w:line="264" w:lineRule="auto"/>
      </w:pPr>
      <w:r>
        <w:rPr>
          <w:rFonts w:ascii="Calibri" w:hAnsi="Calibri"/>
          <w:b w:val="0"/>
          <w:i w:val="0"/>
          <w:color w:val="222222"/>
          <w:sz w:val="20"/>
        </w:rPr>
        <w:t>No constituye validación técnica, selección de la alternativa Oeste o Este E6b, proyecto constructivo, decisión administrativa ni compromiso económico.</w:t>
      </w:r>
    </w:p>
    <w:p>
      <w:pPr>
        <w:pStyle w:val="ListBullet"/>
        <w:spacing w:after="60" w:line="264" w:lineRule="auto"/>
      </w:pPr>
      <w:r>
        <w:rPr>
          <w:rFonts w:ascii="Calibri" w:hAnsi="Calibri"/>
          <w:b w:val="0"/>
          <w:i w:val="0"/>
          <w:color w:val="222222"/>
          <w:sz w:val="20"/>
        </w:rPr>
        <w:t>No modifica cifras, tablas técnicas ni conclusiones del Documento Maestro PE2050-C1-DM-001 v1.1.</w:t>
      </w:r>
    </w:p>
    <w:p>
      <w:pPr>
        <w:pStyle w:val="ListBullet"/>
        <w:spacing w:after="60" w:line="264" w:lineRule="auto"/>
      </w:pPr>
      <w:r>
        <w:rPr>
          <w:rFonts w:ascii="Calibri" w:hAnsi="Calibri"/>
          <w:b w:val="0"/>
          <w:i w:val="0"/>
          <w:color w:val="222222"/>
          <w:sz w:val="20"/>
        </w:rPr>
        <w:t>No declara ningún documento como VIGENTE. Toda la documentación afectada mantiene la clasificación TRABAJO INTERNO.</w:t>
      </w:r>
    </w:p>
    <w:p>
      <w:pPr>
        <w:spacing w:before="280" w:after="80"/>
      </w:pPr>
      <w:r>
        <w:rPr>
          <w:rFonts w:ascii="Calibri" w:hAnsi="Calibri"/>
          <w:b/>
          <w:i w:val="0"/>
          <w:color w:val="000000"/>
          <w:sz w:val="26"/>
        </w:rPr>
        <w:t>4. Custodia y trazabilidad</w:t>
      </w:r>
    </w:p>
    <w:p>
      <w:pPr>
        <w:spacing w:before="0" w:after="120" w:line="276" w:lineRule="auto"/>
      </w:pPr>
      <w:r>
        <w:rPr>
          <w:rFonts w:ascii="Calibri" w:hAnsi="Calibri"/>
          <w:b w:val="0"/>
          <w:i w:val="0"/>
          <w:color w:val="222222"/>
          <w:sz w:val="21"/>
        </w:rPr>
        <w:t>La Skill deberá conservar el vínculo a las referencias obligatorias y aplicar la regla de contraste previa a cualquier actualización. Toda incorporación deberá dejar constancia de la fuente, versión, fecha, responsable de revisión, alcance y consecuencia sobre el sistema documental.</w:t>
      </w:r>
    </w:p>
    <w:p>
      <w:pPr>
        <w:spacing w:before="280" w:after="80"/>
      </w:pPr>
      <w:r>
        <w:rPr>
          <w:rFonts w:ascii="Calibri" w:hAnsi="Calibri"/>
          <w:b/>
          <w:i w:val="0"/>
          <w:color w:val="000000"/>
          <w:sz w:val="26"/>
        </w:rPr>
        <w:t>5. Carácter documental</w:t>
      </w:r>
    </w:p>
    <w:p>
      <w:pPr>
        <w:spacing w:before="0" w:after="120" w:line="276" w:lineRule="auto"/>
      </w:pPr>
      <w:r>
        <w:rPr>
          <w:rFonts w:ascii="Calibri" w:hAnsi="Calibri"/>
          <w:b w:val="0"/>
          <w:i w:val="0"/>
          <w:color w:val="222222"/>
          <w:sz w:val="21"/>
        </w:rPr>
        <w:t>Este registro tiene finalidad exclusivamente documental y de coordinación informativa. No sustituye estudios especializados, procedimientos reglados ni la intervención de profesionales competentes cuando corresponda.</w:t>
      </w:r>
    </w:p>
    <w:p>
      <w:pPr>
        <w:spacing w:before="280" w:after="40"/>
      </w:pPr>
      <w:r>
        <w:rPr>
          <w:rFonts w:ascii="Calibri" w:hAnsi="Calibri"/>
          <w:b/>
          <w:i w:val="0"/>
          <w:color w:val="000000"/>
          <w:sz w:val="20"/>
        </w:rPr>
        <w:t>Conformidad de coordinación documental</w:t>
      </w:r>
    </w:p>
    <w:p>
      <w:pPr>
        <w:spacing w:after="0"/>
      </w:pPr>
      <w:r>
        <w:rPr>
          <w:rFonts w:ascii="Calibri" w:hAnsi="Calibri"/>
          <w:b w:val="0"/>
          <w:i w:val="0"/>
          <w:color w:val="222222"/>
          <w:sz w:val="20"/>
        </w:rPr>
        <w:t>Carlos Puyet Martínez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224" w:bottom="1008" w:left="1224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/>
        <w:i w:val="0"/>
        <w:color w:val="666666"/>
        <w:sz w:val="17"/>
      </w:rPr>
      <w:t>TRABAJO INTERNO · PARA-FIRMA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666666"/>
        <w:sz w:val="17"/>
      </w:rPr>
      <w:t>PROYECTO ÉSERA 2050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